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FF84" w14:textId="77777777" w:rsidR="00181562" w:rsidRDefault="00181562" w:rsidP="00181562">
      <w:pPr>
        <w:pStyle w:val="Titlu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ANEXĂ la </w:t>
      </w:r>
      <w:proofErr w:type="spellStart"/>
      <w:r>
        <w:rPr>
          <w:rFonts w:ascii="Arial" w:eastAsia="Times New Roman" w:hAnsi="Arial" w:cs="Arial"/>
          <w:color w:val="333333"/>
        </w:rPr>
        <w:t>Contractul</w:t>
      </w:r>
      <w:proofErr w:type="spellEnd"/>
      <w:r>
        <w:rPr>
          <w:rFonts w:ascii="Arial" w:eastAsia="Times New Roman" w:hAnsi="Arial" w:cs="Arial"/>
          <w:color w:val="333333"/>
        </w:rPr>
        <w:t xml:space="preserve"> de </w:t>
      </w:r>
      <w:proofErr w:type="spellStart"/>
      <w:r>
        <w:rPr>
          <w:rFonts w:ascii="Arial" w:eastAsia="Times New Roman" w:hAnsi="Arial" w:cs="Arial"/>
          <w:color w:val="333333"/>
        </w:rPr>
        <w:t>echilibrare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și</w:t>
      </w:r>
      <w:proofErr w:type="spellEnd"/>
      <w:r>
        <w:rPr>
          <w:rFonts w:ascii="Arial" w:eastAsia="Times New Roman" w:hAnsi="Arial" w:cs="Arial"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</w:rPr>
        <w:t>acces</w:t>
      </w:r>
      <w:proofErr w:type="spellEnd"/>
      <w:r>
        <w:rPr>
          <w:rFonts w:ascii="Arial" w:eastAsia="Times New Roman" w:hAnsi="Arial" w:cs="Arial"/>
          <w:color w:val="333333"/>
        </w:rPr>
        <w:t xml:space="preserve"> la PVT</w:t>
      </w:r>
    </w:p>
    <w:p w14:paraId="77F52698" w14:textId="77777777" w:rsidR="00181562" w:rsidRDefault="00181562" w:rsidP="00181562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12D6858A" w14:textId="57B52E6E" w:rsidR="00181562" w:rsidRDefault="00181562" w:rsidP="0018156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CONVENȚIE DE PARTICIPARE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la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piața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echilibrare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gazelor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naturale</w:t>
      </w:r>
      <w:proofErr w:type="spellEnd"/>
    </w:p>
    <w:p w14:paraId="5CC307E7" w14:textId="41131E42" w:rsidR="00E95969" w:rsidRDefault="00E95969" w:rsidP="0018156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14:paraId="0CDA6E52" w14:textId="77777777" w:rsidR="00E95969" w:rsidRPr="00681373" w:rsidRDefault="00E95969" w:rsidP="00E959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681373">
        <w:rPr>
          <w:rFonts w:ascii="Arial" w:hAnsi="Arial" w:cs="Arial"/>
          <w:b/>
          <w:sz w:val="21"/>
          <w:szCs w:val="21"/>
        </w:rPr>
        <w:t>nr. ……./…………….</w:t>
      </w:r>
    </w:p>
    <w:p w14:paraId="32C6E960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sz w:val="21"/>
          <w:szCs w:val="21"/>
          <w:lang w:val="ro-RO"/>
        </w:rPr>
        <w:t>Încheiată între:</w:t>
      </w:r>
    </w:p>
    <w:p w14:paraId="13F3DA73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BURSA ROMÂNĂ DE MĂRFURI – S.A.</w:t>
      </w:r>
    </w:p>
    <w:p w14:paraId="0D1027B3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Nr. de înregistrare la Registrul </w:t>
      </w: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Comerţului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J40</w:t>
      </w:r>
      <w:r w:rsidRPr="00681373">
        <w:rPr>
          <w:rFonts w:ascii="Arial" w:eastAsia="Times New Roman" w:hAnsi="Arial" w:cs="Arial"/>
          <w:bCs/>
          <w:sz w:val="21"/>
          <w:szCs w:val="21"/>
          <w:lang w:val="fr-FR"/>
        </w:rPr>
        <w:t>/</w:t>
      </w: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19450/1992</w:t>
      </w:r>
    </w:p>
    <w:p w14:paraId="3FCFC12A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Cod Unic de Înregistrare RO1562694</w:t>
      </w:r>
    </w:p>
    <w:p w14:paraId="41AE9B4F" w14:textId="7CFB58BB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Licenţa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nr. 2269/14.12.2018 emisă de Autoritatea </w:t>
      </w: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Naţională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de Reglementare în Domeniul Energiei denumită în cele ce urmează “BRM”, î</w:t>
      </w:r>
      <w:r w:rsidRPr="00681373">
        <w:rPr>
          <w:rFonts w:ascii="Arial" w:eastAsia="Times New Roman" w:hAnsi="Arial" w:cs="Arial"/>
          <w:sz w:val="21"/>
          <w:szCs w:val="21"/>
          <w:lang w:val="ro-RO"/>
        </w:rPr>
        <w:t xml:space="preserve">n calitate de parte desemnata de OTS pentru organizarea  si administrarea </w:t>
      </w:r>
      <w:proofErr w:type="spellStart"/>
      <w:r w:rsidRPr="00681373">
        <w:rPr>
          <w:rFonts w:ascii="Arial" w:eastAsia="Times New Roman" w:hAnsi="Arial" w:cs="Arial"/>
          <w:sz w:val="21"/>
          <w:szCs w:val="21"/>
          <w:lang w:val="ro-RO"/>
        </w:rPr>
        <w:t>Pietei</w:t>
      </w:r>
      <w:proofErr w:type="spellEnd"/>
      <w:r w:rsidRPr="00681373">
        <w:rPr>
          <w:rFonts w:ascii="Arial" w:eastAsia="Times New Roman" w:hAnsi="Arial" w:cs="Arial"/>
          <w:sz w:val="21"/>
          <w:szCs w:val="21"/>
          <w:lang w:val="ro-RO"/>
        </w:rPr>
        <w:t xml:space="preserve"> de Echilibrare a gazelor naturale,</w:t>
      </w:r>
    </w:p>
    <w:p w14:paraId="6288F57F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</w:p>
    <w:p w14:paraId="3B3EF423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şi</w:t>
      </w:r>
      <w:proofErr w:type="spellEnd"/>
    </w:p>
    <w:p w14:paraId="7928A4E0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</w:p>
    <w:p w14:paraId="274A0E20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Societatea ………………………………….................................................................................................. </w:t>
      </w:r>
    </w:p>
    <w:p w14:paraId="5F0CB911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cu sediul în localitatea.............................., str. ................., cod </w:t>
      </w: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po</w:t>
      </w:r>
      <w:r w:rsidRPr="00681373">
        <w:rPr>
          <w:rFonts w:ascii="Arial" w:eastAsia="Times New Roman" w:hAnsi="Arial" w:cs="Arial"/>
          <w:sz w:val="21"/>
          <w:szCs w:val="21"/>
          <w:lang w:val="ro-RO"/>
        </w:rPr>
        <w:t>ş</w:t>
      </w: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tal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.........................................., tel......................., fax.................., adresa e-mail................, având cont deschis la banca ...................., cont nr............................................</w:t>
      </w:r>
    </w:p>
    <w:p w14:paraId="06249A0B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Nr. de înregistrare la Registrul Comerţului…………….............................................................</w:t>
      </w:r>
    </w:p>
    <w:p w14:paraId="45365BCE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Cod Unic de Înregistrare…………..............................................................................................</w:t>
      </w:r>
    </w:p>
    <w:p w14:paraId="516CD66F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Licenţa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nr.</w:t>
      </w:r>
      <w:r w:rsidRPr="00681373">
        <w:rPr>
          <w:rFonts w:ascii="Arial" w:eastAsia="Times New Roman" w:hAnsi="Arial" w:cs="Arial"/>
          <w:sz w:val="21"/>
          <w:szCs w:val="21"/>
          <w:lang w:val="ro-RO"/>
        </w:rPr>
        <w:t>*</w:t>
      </w:r>
      <w:r w:rsidRPr="00681373">
        <w:rPr>
          <w:rFonts w:ascii="Arial" w:eastAsia="Times New Roman" w:hAnsi="Arial" w:cs="Arial"/>
          <w:sz w:val="21"/>
          <w:szCs w:val="21"/>
          <w:vertAlign w:val="superscript"/>
          <w:lang w:val="ro-RO"/>
        </w:rPr>
        <w:t>)</w:t>
      </w: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......................./................. emisă de Autoritatea </w:t>
      </w: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Naţională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de Reglementare în Domeniul Energiei, </w:t>
      </w: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avand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cod ACER ………………………..</w:t>
      </w:r>
    </w:p>
    <w:p w14:paraId="576B500B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val="ro-RO"/>
        </w:rPr>
      </w:pPr>
    </w:p>
    <w:p w14:paraId="4AEA892B" w14:textId="77777777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Nr. cont la Registrul de </w:t>
      </w: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tranzacţionare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pe </w:t>
      </w:r>
      <w:proofErr w:type="spellStart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>Piaţa</w:t>
      </w:r>
      <w:proofErr w:type="spellEnd"/>
      <w:r w:rsidRPr="00681373">
        <w:rPr>
          <w:rFonts w:ascii="Arial" w:eastAsia="Times New Roman" w:hAnsi="Arial" w:cs="Arial"/>
          <w:bCs/>
          <w:sz w:val="21"/>
          <w:szCs w:val="21"/>
          <w:lang w:val="ro-RO"/>
        </w:rPr>
        <w:t xml:space="preserve"> de Echilibrare a gazelor naturale …...................................,</w:t>
      </w:r>
    </w:p>
    <w:p w14:paraId="229D01ED" w14:textId="680DE364" w:rsidR="00E95969" w:rsidRPr="00681373" w:rsidRDefault="00E95969" w:rsidP="0068137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ro-RO"/>
        </w:rPr>
      </w:pPr>
      <w:r w:rsidRPr="00681373">
        <w:rPr>
          <w:rFonts w:ascii="Arial" w:eastAsia="Times New Roman" w:hAnsi="Arial" w:cs="Arial"/>
          <w:sz w:val="21"/>
          <w:szCs w:val="21"/>
          <w:lang w:val="ro-RO"/>
        </w:rPr>
        <w:t>denumită în cele ce urmează „Participant”, în calitate de participant în Ringul contractelor bilaterale de gaze naturale,</w:t>
      </w:r>
    </w:p>
    <w:p w14:paraId="157C8EB0" w14:textId="77777777" w:rsidR="00E95969" w:rsidRDefault="00E95969" w:rsidP="0018156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14:paraId="4ACDBD66" w14:textId="77777777" w:rsidR="00181562" w:rsidRPr="00181562" w:rsidRDefault="00181562" w:rsidP="00181562">
      <w:pPr>
        <w:pStyle w:val="al"/>
        <w:spacing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I.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Terminologie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și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legislație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aplicabilă</w:t>
      </w:r>
      <w:proofErr w:type="spellEnd"/>
    </w:p>
    <w:p w14:paraId="51E7C9B8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1.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definiți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123/2012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Codul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rețelei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transport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președintelui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16/2013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rețelei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4432859D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înțelesul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expresiile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abrevierile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folosite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semnificație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13CB5D8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>anularea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unei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ștergerea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active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participant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rămânând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date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statistice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1190931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Convenția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88281F4" w14:textId="0E48428A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scrisoare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de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garanție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bancară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de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document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irevocabil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necondiționat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plătească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prima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BRM,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concurența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maxime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ordonator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limitată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modelului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agreat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1C04FDE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suspendarea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unei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ștergerea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participant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sale active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suspendată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reactivată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9C4FCDE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nota de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decontare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zilnică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raport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decontare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participant la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cumulat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gazieră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livrare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cantitățile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prețul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închidere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pieței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TVA;</w:t>
      </w:r>
    </w:p>
    <w:p w14:paraId="1525CF5B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ANRE</w:t>
      </w:r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Națională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Energiei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6908F87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PE </w:t>
      </w: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2DF1418" w14:textId="5E860152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Procedură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PE</w:t>
      </w:r>
      <w:r>
        <w:rPr>
          <w:rFonts w:ascii="Arial" w:hAnsi="Arial" w:cs="Arial"/>
          <w:color w:val="333333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anchor="p-27056602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rețelei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5ED892B" w14:textId="14B4236C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463B0134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5312C5B1" w14:textId="77777777" w:rsidR="00181562" w:rsidRPr="00181562" w:rsidRDefault="00181562" w:rsidP="00181562">
      <w:pPr>
        <w:pStyle w:val="al"/>
        <w:spacing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II.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Obiectul</w:t>
      </w:r>
      <w:proofErr w:type="spellEnd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81562">
        <w:rPr>
          <w:rFonts w:ascii="Arial" w:hAnsi="Arial" w:cs="Arial"/>
          <w:b/>
          <w:bCs/>
          <w:color w:val="333333"/>
          <w:sz w:val="21"/>
          <w:szCs w:val="21"/>
        </w:rPr>
        <w:t>Convenției</w:t>
      </w:r>
      <w:proofErr w:type="spellEnd"/>
    </w:p>
    <w:p w14:paraId="12370380" w14:textId="6F16A288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2.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reprezintă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prestarea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BRMaserviciilor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pieței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vânzare-cumpărare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BRM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secundară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piețe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638E0410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cunoștință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reciproce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cadrul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desfășurare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reguli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A3ECD5A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aplicabilă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ca scop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limita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cantităților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dezechilibru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inițial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preț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mod transparent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nediscriminatoriu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658D2FB" w14:textId="526634F0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conțin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E95969">
        <w:rPr>
          <w:rFonts w:ascii="Arial" w:hAnsi="Arial" w:cs="Arial"/>
          <w:color w:val="333333"/>
          <w:sz w:val="21"/>
          <w:szCs w:val="21"/>
        </w:rPr>
        <w:lastRenderedPageBreak/>
        <w:t xml:space="preserve">BRM </w:t>
      </w:r>
      <w:proofErr w:type="spellStart"/>
      <w:r w:rsidR="00E95969">
        <w:rPr>
          <w:rFonts w:ascii="Arial" w:hAnsi="Arial" w:cs="Arial"/>
          <w:color w:val="333333"/>
          <w:sz w:val="21"/>
          <w:szCs w:val="21"/>
        </w:rPr>
        <w:t>notifică</w:t>
      </w:r>
      <w:proofErr w:type="spellEnd"/>
      <w:r w:rsidR="00E95969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OTS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cantitatea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prețul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închidere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pieței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ziua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livrare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8A2C67F" w14:textId="3609CD01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(5)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elaborate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E95969">
        <w:rPr>
          <w:rFonts w:ascii="Arial" w:hAnsi="Arial" w:cs="Arial"/>
          <w:color w:val="333333"/>
          <w:sz w:val="21"/>
          <w:szCs w:val="21"/>
        </w:rPr>
        <w:t xml:space="preserve">BRM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internet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PE.</w:t>
      </w:r>
    </w:p>
    <w:p w14:paraId="67A5AB69" w14:textId="544564B3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cuprinse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act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adițional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consemna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survenite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5350837" w14:textId="77777777" w:rsidR="00E95969" w:rsidRDefault="00E95969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59ADBA9A" w14:textId="77777777" w:rsidR="00181562" w:rsidRPr="00DD1A2E" w:rsidRDefault="00181562" w:rsidP="00181562">
      <w:pPr>
        <w:pStyle w:val="al"/>
        <w:spacing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III.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Drepturi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și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obligații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ale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părților</w:t>
      </w:r>
      <w:proofErr w:type="spellEnd"/>
    </w:p>
    <w:p w14:paraId="78DC8F84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3.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407AB889" w14:textId="310A75D5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E95969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asistență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practică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PE;</w:t>
      </w:r>
    </w:p>
    <w:p w14:paraId="3F0623BB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9958D1B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preciza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9532C49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vizualizeze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ceilalți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PE;</w:t>
      </w:r>
    </w:p>
    <w:p w14:paraId="76D6C070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suspende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anuleze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timpul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PE;</w:t>
      </w:r>
    </w:p>
    <w:p w14:paraId="27A17350" w14:textId="79573761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r w:rsidR="00E95969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intermediul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confirmarea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validării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invalidarea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7D189D1" w14:textId="21F47DA0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acceseze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confirmările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decontare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E95969">
        <w:rPr>
          <w:rFonts w:ascii="Arial" w:hAnsi="Arial" w:cs="Arial"/>
          <w:color w:val="333333"/>
          <w:sz w:val="21"/>
          <w:szCs w:val="21"/>
        </w:rPr>
        <w:t xml:space="preserve">BRM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PE;</w:t>
      </w:r>
    </w:p>
    <w:p w14:paraId="3CA11B40" w14:textId="3DB15760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integral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poziției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decontare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creditarea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deschis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la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lunar,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regularizare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egală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reciproce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5501C">
        <w:rPr>
          <w:rFonts w:ascii="Arial" w:hAnsi="Arial" w:cs="Arial"/>
          <w:color w:val="333333"/>
          <w:sz w:val="21"/>
          <w:szCs w:val="21"/>
        </w:rPr>
        <w:t xml:space="preserve">BRM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cantităților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0B9F37B3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anunțat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comunicație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alternative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fax, e-mail, website)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întreruperii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reluării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PE;</w:t>
      </w:r>
    </w:p>
    <w:p w14:paraId="02BBB888" w14:textId="3ACB71AC" w:rsidR="00D5501C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j)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retragerea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inițiativă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înștiințări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14:paraId="0D89862E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4.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6FED5D69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anchor="p-270566020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</w:t>
        </w:r>
        <w:r>
          <w:rPr>
            <w:rStyle w:val="Hyperlink"/>
            <w:rFonts w:ascii="Arial" w:hAnsi="Arial" w:cs="Arial"/>
            <w:sz w:val="21"/>
            <w:szCs w:val="21"/>
            <w:vertAlign w:val="superscript"/>
          </w:rPr>
          <w:t>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rețelei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celorlalte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PE;</w:t>
      </w:r>
    </w:p>
    <w:p w14:paraId="00258906" w14:textId="5E7C3CA0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intenționează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Mandat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SEPA Debit Direct cu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decontare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TransFonD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scanat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pe e-mail, la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14:paraId="3B0652AB" w14:textId="084638A8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realizeze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demersurile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Banca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astfel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5501C" w:rsidDel="00D5501C">
        <w:rPr>
          <w:rFonts w:ascii="Arial" w:hAnsi="Arial" w:cs="Arial"/>
          <w:color w:val="333333"/>
          <w:sz w:val="21"/>
          <w:szCs w:val="21"/>
        </w:rPr>
        <w:t xml:space="preserve">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central,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12,00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ziua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anterioară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dorește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original,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favoarea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mesajul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swift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Băncii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însoțit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avizul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Băncii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central;</w:t>
      </w:r>
    </w:p>
    <w:p w14:paraId="7C9E3965" w14:textId="3601405F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diminuarea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scoaterea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sub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Băncii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înainte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expirarea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valabilitate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D0CC6A9" w14:textId="3AF430BF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disponibilitățile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debitării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deschis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Banca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decontare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instrucțiunile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Mandatul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SEPA Debit Direct,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dorește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E2E1BAF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acoperă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intențiilor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asumate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9E8DDB1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reflectă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anterior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58DB654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încărcate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89884FD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accepte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angajamente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confirmările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E32BAE5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j)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achite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integral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0B38CCFE" w14:textId="44FEE315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responsabil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confidențialitatea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r w:rsidR="00D5501C">
        <w:rPr>
          <w:rFonts w:ascii="Arial" w:hAnsi="Arial" w:cs="Arial"/>
          <w:color w:val="333333"/>
          <w:sz w:val="21"/>
          <w:szCs w:val="21"/>
        </w:rPr>
        <w:t xml:space="preserve">BRM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accesarea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1D1CF209" w14:textId="015A725A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cuprinse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r w:rsidR="00DD1A2E">
        <w:rPr>
          <w:rFonts w:ascii="Arial" w:hAnsi="Arial" w:cs="Arial"/>
          <w:color w:val="333333"/>
          <w:sz w:val="21"/>
          <w:szCs w:val="21"/>
        </w:rPr>
        <w:t xml:space="preserve">BRM </w:t>
      </w:r>
      <w:r>
        <w:rPr>
          <w:rFonts w:ascii="Arial" w:hAnsi="Arial" w:cs="Arial"/>
          <w:color w:val="333333"/>
          <w:sz w:val="21"/>
          <w:szCs w:val="21"/>
        </w:rPr>
        <w:t xml:space="preserve">un act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adițional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consemna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survenite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A7DFADD" w14:textId="39B9691C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proofErr w:type="spellEnd"/>
      <w:r w:rsidR="00DD1A2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maximum 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OTS.</w:t>
      </w:r>
    </w:p>
    <w:p w14:paraId="4E0DE7F2" w14:textId="19021C4B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5.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5501C">
        <w:rPr>
          <w:rFonts w:ascii="Arial" w:hAnsi="Arial" w:cs="Arial"/>
          <w:color w:val="333333"/>
          <w:sz w:val="21"/>
          <w:szCs w:val="21"/>
        </w:rPr>
        <w:t xml:space="preserve">BRM </w:t>
      </w:r>
      <w:r>
        <w:rPr>
          <w:rFonts w:ascii="Arial" w:hAnsi="Arial" w:cs="Arial"/>
          <w:color w:val="333333"/>
          <w:sz w:val="21"/>
          <w:szCs w:val="21"/>
        </w:rPr>
        <w:t xml:space="preserve">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6880BE7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PE, pe e-mail,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Mandatul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SEPA Debit Direct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scanat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deschis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România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creditat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C3D605B" w14:textId="15085FCE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favoarea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original,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mesajul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swift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Băncii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însoțit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avizul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Băncii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decât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central,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târziu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12,00, cu o 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înainte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ziua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dorește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9A648D1" w14:textId="069BC0BA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monitorizeze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valabilitate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invalideze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valabilitatea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prelungită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elaborate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internet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0B4457E4" w14:textId="203D6089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calculeze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nivelul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validare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valideze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invalideze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căror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depășește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validare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elaborate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DD1A2E">
        <w:rPr>
          <w:rFonts w:ascii="Arial" w:hAnsi="Arial" w:cs="Arial"/>
          <w:color w:val="333333"/>
          <w:sz w:val="21"/>
          <w:szCs w:val="21"/>
        </w:rPr>
        <w:t xml:space="preserve">BRM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internet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7EC70C3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lucrătoare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instrucțiunea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corespunzătoare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nete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TVA)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decontare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zilnică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24AEC5C1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executare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bancară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primește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Banca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central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rapoarte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refuzuri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datorate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lipsei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disponibilități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refuze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diminuarea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acesteia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reducere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acoperă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5FE53994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g)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care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efectuat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gaze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TVA);</w:t>
      </w:r>
    </w:p>
    <w:p w14:paraId="77DED301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factura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facturile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anuală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TVA);</w:t>
      </w:r>
    </w:p>
    <w:p w14:paraId="3A51D150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încasare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tarifului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TVA);</w:t>
      </w:r>
    </w:p>
    <w:p w14:paraId="6FD7BEF4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decidă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suspendarea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revocarea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PE;</w:t>
      </w:r>
    </w:p>
    <w:p w14:paraId="42C58F20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j)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primească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schimbare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sale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susținute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justificatoare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semneze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act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adițional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consemna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survenite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0109B76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k)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solicitate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autoritățile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instanțele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lucru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828D9BC" w14:textId="6DAD2DC0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6.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Obligațiile</w:t>
      </w:r>
      <w:proofErr w:type="spellEnd"/>
      <w:r w:rsidR="00D5501C">
        <w:rPr>
          <w:rFonts w:ascii="Arial" w:hAnsi="Arial" w:cs="Arial"/>
          <w:color w:val="333333"/>
          <w:sz w:val="21"/>
          <w:szCs w:val="21"/>
        </w:rPr>
        <w:t xml:space="preserve">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235A8F0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mediu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corectitudine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obiectivitate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independență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echidistanță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transparență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nediscriminare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secundare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aplicabile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F9EB608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asigure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asistență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practică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PE;</w:t>
      </w:r>
    </w:p>
    <w:p w14:paraId="348CF382" w14:textId="7A06DC04" w:rsidR="00181562" w:rsidRPr="004F33D4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dispoziția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Ghidul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util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asupra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pagina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website-ul </w:t>
      </w:r>
      <w:r w:rsidR="00DD1A2E">
        <w:rPr>
          <w:rFonts w:ascii="Arial" w:hAnsi="Arial" w:cs="Arial"/>
          <w:color w:val="333333"/>
          <w:sz w:val="21"/>
          <w:szCs w:val="21"/>
        </w:rPr>
        <w:t>BRM</w:t>
      </w:r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strike/>
          <w:vanish/>
          <w:color w:val="333333"/>
          <w:sz w:val="21"/>
          <w:szCs w:val="21"/>
        </w:rPr>
        <w:t xml:space="preserve"> să transmită la Banca cont central contractul de mandat privind plata prin debitare directă, în vederea setării datelor necesare în sistemul informatic al băncii;</w:t>
      </w:r>
    </w:p>
    <w:p w14:paraId="1E6681EB" w14:textId="75EF031F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</w:t>
      </w:r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valideze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ofertele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introduse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reglementărilor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;</w:t>
      </w:r>
    </w:p>
    <w:p w14:paraId="5D92D6FB" w14:textId="22B8692E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</w:t>
      </w:r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notifice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automat,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intermediul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platformei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a PE,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despre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invalidarea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gaze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;</w:t>
      </w:r>
    </w:p>
    <w:p w14:paraId="654E4761" w14:textId="1CC6416F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</w:t>
      </w:r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pună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dispoziția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 care </w:t>
      </w:r>
      <w:proofErr w:type="gramStart"/>
      <w:r w:rsidR="00181562">
        <w:rPr>
          <w:rFonts w:ascii="Arial" w:hAnsi="Arial" w:cs="Arial"/>
          <w:color w:val="333333"/>
          <w:sz w:val="21"/>
          <w:szCs w:val="21"/>
        </w:rPr>
        <w:t>a</w:t>
      </w:r>
      <w:proofErr w:type="gram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introdus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oferte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gaze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confirmările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notele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decontare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zilnice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tranzacțiile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cu gaze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realizate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canale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alternative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comunicație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(e-mail)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situația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notificării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 a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imposibilității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a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accesa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platforma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;</w:t>
      </w:r>
    </w:p>
    <w:p w14:paraId="0715392C" w14:textId="4730D073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</w:t>
      </w:r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pună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dispoziția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notificările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corespunzătoare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tranzacțiilor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încheiate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;</w:t>
      </w:r>
    </w:p>
    <w:p w14:paraId="543EF3CC" w14:textId="0D0D5950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</w:t>
      </w:r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anunțe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canale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comunicație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alternative cu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imposibilitatea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utilizării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căilor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comunicație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uzuale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nefuncționarea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sistemului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, precum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reluarea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tranzacționării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motivele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întreruperii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accidentale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sesiunii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;</w:t>
      </w:r>
    </w:p>
    <w:p w14:paraId="0E1BB666" w14:textId="1EE20B60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achite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integral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contravaloarea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încasare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nete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vânzărilor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gaze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zilnice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realizate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transmiterea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ordinelor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favoarea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documenteze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, lunar,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încasarea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plata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regularizare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valoare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egală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reciproce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;</w:t>
      </w:r>
    </w:p>
    <w:p w14:paraId="6FA57BA2" w14:textId="528C4FD0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</w:t>
      </w:r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actualizeze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al PE cu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înregistrat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la PE;</w:t>
      </w:r>
    </w:p>
    <w:p w14:paraId="3A84FBAD" w14:textId="590D67D5" w:rsidR="00181562" w:rsidRDefault="004F33D4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</w:t>
      </w:r>
      <w:r w:rsidR="00181562"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publice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pe website-ul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propriu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legislația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secundară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funcționarea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PE, precum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procedurile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="00181562"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 w:rsidR="00181562">
        <w:rPr>
          <w:rFonts w:ascii="Arial" w:hAnsi="Arial" w:cs="Arial"/>
          <w:color w:val="333333"/>
          <w:sz w:val="21"/>
          <w:szCs w:val="21"/>
        </w:rPr>
        <w:t>.</w:t>
      </w:r>
    </w:p>
    <w:p w14:paraId="05A4D30C" w14:textId="77777777" w:rsidR="00D5501C" w:rsidRDefault="00D5501C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1AB7DF36" w14:textId="77777777" w:rsidR="00181562" w:rsidRPr="00DD1A2E" w:rsidRDefault="00181562" w:rsidP="00181562">
      <w:pPr>
        <w:pStyle w:val="al"/>
        <w:spacing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IV.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Suspendarea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de la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piața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de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echilibrare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a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gazelor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naturale</w:t>
      </w:r>
      <w:proofErr w:type="spellEnd"/>
    </w:p>
    <w:p w14:paraId="1AFAD969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7.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neîndeplinire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conduc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suspendarea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30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inclusiv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limita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24734CDD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-un interval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timp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1 (o)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desfășurată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determină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mult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3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refuzuri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datorate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lipsei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disponibilitate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instrucțiunile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debitare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executarea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76588B34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nerespectarea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termenelor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transmitere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facturilor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vândute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3DE150B0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încalcă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această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procedurilor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specifice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funcționarea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incluzând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limita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referitoare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asuma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aferente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sesiunii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privește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cantitatea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prețul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închidere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pieței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7E14117" w14:textId="1F411F7F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participantul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PE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dovedi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cauzele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suspendarea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tranzacționare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suspendat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piața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echilibrare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gazelor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naturale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până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cauzat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suspendarea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061FE17" w14:textId="77777777" w:rsidR="00D5501C" w:rsidRDefault="00D5501C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678AB7F7" w14:textId="77777777" w:rsidR="00181562" w:rsidRPr="00681373" w:rsidRDefault="00181562" w:rsidP="00181562">
      <w:pPr>
        <w:pStyle w:val="al"/>
        <w:spacing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681373">
        <w:rPr>
          <w:rFonts w:ascii="Arial" w:hAnsi="Arial" w:cs="Arial"/>
          <w:b/>
          <w:bCs/>
          <w:color w:val="333333"/>
          <w:sz w:val="21"/>
          <w:szCs w:val="21"/>
        </w:rPr>
        <w:t xml:space="preserve">V. </w:t>
      </w:r>
      <w:proofErr w:type="spellStart"/>
      <w:r w:rsidRPr="00681373">
        <w:rPr>
          <w:rFonts w:ascii="Arial" w:hAnsi="Arial" w:cs="Arial"/>
          <w:b/>
          <w:bCs/>
          <w:color w:val="333333"/>
          <w:sz w:val="21"/>
          <w:szCs w:val="21"/>
        </w:rPr>
        <w:t>Forța</w:t>
      </w:r>
      <w:proofErr w:type="spellEnd"/>
      <w:r w:rsidRPr="00681373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681373">
        <w:rPr>
          <w:rFonts w:ascii="Arial" w:hAnsi="Arial" w:cs="Arial"/>
          <w:b/>
          <w:bCs/>
          <w:color w:val="333333"/>
          <w:sz w:val="21"/>
          <w:szCs w:val="21"/>
        </w:rPr>
        <w:t>majoră</w:t>
      </w:r>
      <w:proofErr w:type="spellEnd"/>
    </w:p>
    <w:p w14:paraId="4FC069CD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8.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majoră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reprezintă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eveniment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extern,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imprevizibil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absolut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invincibil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inevitabil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3A7CCF8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înlăturată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atunci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prejudiciul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cauzat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majoră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condițiile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anchor="p-56652187" w:tgtFrame="_blank" w:history="1">
        <w:r>
          <w:rPr>
            <w:rStyle w:val="Hyperlink"/>
            <w:rFonts w:ascii="Arial" w:hAnsi="Arial" w:cs="Arial"/>
            <w:sz w:val="21"/>
            <w:szCs w:val="21"/>
          </w:rPr>
          <w:t>art. 1.351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civil.</w:t>
      </w:r>
    </w:p>
    <w:p w14:paraId="776F045B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invocă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forță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majoră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celeilalte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maximum 48 de ore de la data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apariției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remiterea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înscrisului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justificativ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20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calendaristice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aceeași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9071516" w14:textId="3FFA2402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forța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majoră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termen de 30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calendaristice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solicite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contractului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vreuna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aibă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pretinde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dezdăunări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A44347E" w14:textId="77777777" w:rsidR="00522980" w:rsidRDefault="00522980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1FC0DAEA" w14:textId="77777777" w:rsidR="00181562" w:rsidRPr="00DD1A2E" w:rsidRDefault="00181562" w:rsidP="00181562">
      <w:pPr>
        <w:pStyle w:val="al"/>
        <w:spacing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VI.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Confidențialitatea</w:t>
      </w:r>
      <w:proofErr w:type="spellEnd"/>
    </w:p>
    <w:p w14:paraId="449B0877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Art. 9. - </w:t>
      </w:r>
      <w:r>
        <w:rPr>
          <w:rFonts w:ascii="Arial" w:hAnsi="Arial" w:cs="Arial"/>
          <w:color w:val="333333"/>
          <w:sz w:val="21"/>
          <w:szCs w:val="21"/>
        </w:rPr>
        <w:t xml:space="preserve">(1)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Fiecare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păstreze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confidențialitatea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tuturor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obținute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derularea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dezvăluie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terțe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parțial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fără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consimțământul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celeilalte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0AA0A5AF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(2) Fac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excepție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0" w:anchor="p-270566011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alin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>. (1)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și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5000E5FE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pot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dezvăluite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4D841CAF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solicitate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abilitate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14:paraId="604D567D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considerate a nu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confidențial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11FBEF5A" w14:textId="259EC8D3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rămân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perioadă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5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cinci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ani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încetarea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valabilității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78B14A7" w14:textId="77777777" w:rsidR="00522980" w:rsidRDefault="00522980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</w:p>
    <w:p w14:paraId="0919FF6E" w14:textId="77777777" w:rsidR="00181562" w:rsidRPr="00DD1A2E" w:rsidRDefault="00181562" w:rsidP="00181562">
      <w:pPr>
        <w:pStyle w:val="al"/>
        <w:spacing w:line="345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VII. </w:t>
      </w:r>
      <w:proofErr w:type="spellStart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>Dispoziții</w:t>
      </w:r>
      <w:proofErr w:type="spellEnd"/>
      <w:r w:rsidRPr="00DD1A2E">
        <w:rPr>
          <w:rFonts w:ascii="Arial" w:hAnsi="Arial" w:cs="Arial"/>
          <w:b/>
          <w:bCs/>
          <w:color w:val="333333"/>
          <w:sz w:val="21"/>
          <w:szCs w:val="21"/>
        </w:rPr>
        <w:t xml:space="preserve"> finale</w:t>
      </w:r>
    </w:p>
    <w:p w14:paraId="4568C71F" w14:textId="77777777" w:rsidR="00181562" w:rsidRDefault="00181562" w:rsidP="0018156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lastRenderedPageBreak/>
        <w:t xml:space="preserve">Art. 10.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situația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ulterior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încheierii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conținutul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ANRE,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părțile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Convenția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așa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cum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ANRE.</w:t>
      </w:r>
    </w:p>
    <w:p w14:paraId="2DED0FFA" w14:textId="1A779B6B" w:rsidR="00A56773" w:rsidRDefault="00A56773"/>
    <w:p w14:paraId="7992062C" w14:textId="7203CFED" w:rsidR="00522980" w:rsidRDefault="00522980"/>
    <w:p w14:paraId="71B13E4A" w14:textId="1938FC7B" w:rsidR="00522980" w:rsidRPr="00CF3C7D" w:rsidRDefault="00522980" w:rsidP="005229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CF3C7D">
        <w:rPr>
          <w:rFonts w:ascii="Times New Roman" w:hAnsi="Times New Roman"/>
          <w:b/>
          <w:bCs/>
        </w:rPr>
        <w:t>Reprezentant</w:t>
      </w:r>
      <w:proofErr w:type="spellEnd"/>
      <w:r w:rsidRPr="00CF3C7D">
        <w:rPr>
          <w:rFonts w:ascii="Times New Roman" w:hAnsi="Times New Roman"/>
          <w:b/>
          <w:bCs/>
        </w:rPr>
        <w:t xml:space="preserve"> legal</w:t>
      </w:r>
      <w:r w:rsidRPr="00CF3C7D">
        <w:rPr>
          <w:rFonts w:ascii="Times New Roman" w:hAnsi="Times New Roman"/>
          <w:b/>
          <w:bCs/>
        </w:rPr>
        <w:tab/>
      </w:r>
      <w:r w:rsidRPr="00CF3C7D">
        <w:rPr>
          <w:rFonts w:ascii="Times New Roman" w:hAnsi="Times New Roman"/>
          <w:b/>
          <w:bCs/>
        </w:rPr>
        <w:tab/>
      </w:r>
      <w:r w:rsidRPr="00CF3C7D">
        <w:rPr>
          <w:rFonts w:ascii="Times New Roman" w:hAnsi="Times New Roman"/>
          <w:b/>
          <w:bCs/>
        </w:rPr>
        <w:tab/>
      </w:r>
      <w:r w:rsidRPr="00CF3C7D">
        <w:rPr>
          <w:rFonts w:ascii="Times New Roman" w:hAnsi="Times New Roman"/>
          <w:b/>
          <w:bCs/>
        </w:rPr>
        <w:tab/>
      </w:r>
      <w:r w:rsidRPr="00CF3C7D">
        <w:rPr>
          <w:rFonts w:ascii="Times New Roman" w:hAnsi="Times New Roman"/>
          <w:b/>
          <w:bCs/>
        </w:rPr>
        <w:tab/>
        <w:t xml:space="preserve">                                       </w:t>
      </w:r>
      <w:proofErr w:type="spellStart"/>
      <w:r w:rsidRPr="00CF3C7D">
        <w:rPr>
          <w:rFonts w:ascii="Times New Roman" w:hAnsi="Times New Roman"/>
          <w:b/>
          <w:bCs/>
        </w:rPr>
        <w:t>Reprezentant</w:t>
      </w:r>
      <w:proofErr w:type="spellEnd"/>
      <w:r w:rsidRPr="00CF3C7D">
        <w:rPr>
          <w:rFonts w:ascii="Times New Roman" w:hAnsi="Times New Roman"/>
          <w:b/>
          <w:bCs/>
        </w:rPr>
        <w:t xml:space="preserve"> legal</w:t>
      </w:r>
    </w:p>
    <w:p w14:paraId="37AF9EA9" w14:textId="77777777" w:rsidR="00522980" w:rsidRPr="00CF3C7D" w:rsidRDefault="00522980" w:rsidP="00522980">
      <w:pPr>
        <w:autoSpaceDE w:val="0"/>
        <w:autoSpaceDN w:val="0"/>
        <w:adjustRightInd w:val="0"/>
        <w:rPr>
          <w:rFonts w:ascii="Times New Roman" w:hAnsi="Times New Roman"/>
        </w:rPr>
      </w:pPr>
      <w:r w:rsidRPr="00CF3C7D">
        <w:rPr>
          <w:rFonts w:ascii="Times New Roman" w:hAnsi="Times New Roman"/>
          <w:b/>
          <w:bCs/>
        </w:rPr>
        <w:t xml:space="preserve">Bursa </w:t>
      </w:r>
      <w:proofErr w:type="spellStart"/>
      <w:r w:rsidRPr="00CF3C7D">
        <w:rPr>
          <w:rFonts w:ascii="Times New Roman" w:hAnsi="Times New Roman"/>
          <w:b/>
          <w:bCs/>
        </w:rPr>
        <w:t>Română</w:t>
      </w:r>
      <w:proofErr w:type="spellEnd"/>
      <w:r w:rsidRPr="00CF3C7D">
        <w:rPr>
          <w:rFonts w:ascii="Times New Roman" w:hAnsi="Times New Roman"/>
          <w:b/>
          <w:bCs/>
        </w:rPr>
        <w:t xml:space="preserve"> de </w:t>
      </w:r>
      <w:proofErr w:type="spellStart"/>
      <w:r w:rsidRPr="00CF3C7D">
        <w:rPr>
          <w:rFonts w:ascii="Times New Roman" w:hAnsi="Times New Roman"/>
          <w:b/>
          <w:bCs/>
        </w:rPr>
        <w:t>Mărfuri</w:t>
      </w:r>
      <w:proofErr w:type="spellEnd"/>
      <w:r w:rsidRPr="00CF3C7D">
        <w:rPr>
          <w:rFonts w:ascii="Times New Roman" w:hAnsi="Times New Roman"/>
          <w:b/>
          <w:bCs/>
        </w:rPr>
        <w:t xml:space="preserve"> – S.A.</w:t>
      </w:r>
      <w:r w:rsidRPr="00CF3C7D">
        <w:rPr>
          <w:rFonts w:ascii="Times New Roman" w:hAnsi="Times New Roman"/>
          <w:b/>
          <w:bCs/>
        </w:rPr>
        <w:tab/>
      </w:r>
      <w:r w:rsidRPr="00CF3C7D">
        <w:rPr>
          <w:rFonts w:ascii="Times New Roman" w:hAnsi="Times New Roman"/>
          <w:b/>
          <w:bCs/>
        </w:rPr>
        <w:tab/>
      </w:r>
      <w:r w:rsidRPr="00CF3C7D">
        <w:rPr>
          <w:rFonts w:ascii="Times New Roman" w:hAnsi="Times New Roman"/>
          <w:b/>
          <w:bCs/>
        </w:rPr>
        <w:tab/>
        <w:t xml:space="preserve">                                S.C. </w:t>
      </w:r>
      <w:r w:rsidRPr="00CF3C7D">
        <w:rPr>
          <w:rFonts w:ascii="Times New Roman" w:hAnsi="Times New Roman"/>
          <w:bCs/>
        </w:rPr>
        <w:t>.....................................</w:t>
      </w:r>
      <w:r w:rsidRPr="00CF3C7D">
        <w:rPr>
          <w:rFonts w:ascii="Times New Roman" w:hAnsi="Times New Roman"/>
        </w:rPr>
        <w:t>…</w:t>
      </w:r>
    </w:p>
    <w:p w14:paraId="174CA060" w14:textId="77777777" w:rsidR="00522980" w:rsidRDefault="00522980"/>
    <w:sectPr w:rsidR="0052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9"/>
    <w:rsid w:val="00181562"/>
    <w:rsid w:val="00190976"/>
    <w:rsid w:val="003417E3"/>
    <w:rsid w:val="00424DA2"/>
    <w:rsid w:val="004622D9"/>
    <w:rsid w:val="004F33D4"/>
    <w:rsid w:val="00522980"/>
    <w:rsid w:val="005E777E"/>
    <w:rsid w:val="00681373"/>
    <w:rsid w:val="0080314A"/>
    <w:rsid w:val="00893849"/>
    <w:rsid w:val="009F7FF4"/>
    <w:rsid w:val="00A56773"/>
    <w:rsid w:val="00A96D31"/>
    <w:rsid w:val="00C1263A"/>
    <w:rsid w:val="00C1485A"/>
    <w:rsid w:val="00D5501C"/>
    <w:rsid w:val="00DD1A2E"/>
    <w:rsid w:val="00E15F4F"/>
    <w:rsid w:val="00E95969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D7E3"/>
  <w15:chartTrackingRefBased/>
  <w15:docId w15:val="{787DF562-CEEC-494B-B9AC-4EFDFD8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62"/>
    <w:rPr>
      <w:rFonts w:eastAsiaTheme="minorEastAsia"/>
    </w:rPr>
  </w:style>
  <w:style w:type="paragraph" w:styleId="Titlu4">
    <w:name w:val="heading 4"/>
    <w:basedOn w:val="Normal"/>
    <w:link w:val="Titlu4Caracter"/>
    <w:uiPriority w:val="9"/>
    <w:qFormat/>
    <w:rsid w:val="00181562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181562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181562"/>
    <w:rPr>
      <w:color w:val="0000FF"/>
      <w:u w:val="single"/>
    </w:rPr>
  </w:style>
  <w:style w:type="paragraph" w:customStyle="1" w:styleId="al">
    <w:name w:val="a_l"/>
    <w:basedOn w:val="Normal"/>
    <w:rsid w:val="001815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1A2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m3dcobxge/codul-retelei-pentru-sistemul-national-de-transport-al-gazelor-naturale-din-27032013?pid=270566020&amp;d=2020-09-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3dcobxge/codul-retelei-pentru-sistemul-national-de-transport-al-gazelor-naturale-din-27032013?pid=270566020&amp;d=2020-09-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m2dqnbxg4/ordinul-nr-16-2013-privind-aprobarea-codului-retelei-pentru-sistemul-national-de-transport-al-gazelor-naturale?d=2020-09-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e5.ro/App/Document/gm3dcobxge/codul-retelei-pentru-sistemul-national-de-transport-al-gazelor-naturale-din-27032013?d=2020-09-10" TargetMode="External"/><Relationship Id="rId10" Type="http://schemas.openxmlformats.org/officeDocument/2006/relationships/hyperlink" Target="http://lege5.ro/App/Document/gm3dcobxge/codul-retelei-pentru-sistemul-national-de-transport-al-gazelor-naturale-din-27032013?pid=270566011&amp;d=2020-09-10" TargetMode="External"/><Relationship Id="rId4" Type="http://schemas.openxmlformats.org/officeDocument/2006/relationships/hyperlink" Target="http://lege5.ro/App/Document/gmzdenjwga/legea-energiei-electrice-si-a-gazelor-naturale-nr-123-2012?d=2020-09-10" TargetMode="External"/><Relationship Id="rId9" Type="http://schemas.openxmlformats.org/officeDocument/2006/relationships/hyperlink" Target="http://lege5.ro/App/Document/gi2tsmbqhe/codul-civil-din-2009?pid=56652187&amp;d=2020-09-1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Dan Guzun (23383)</dc:creator>
  <cp:keywords/>
  <dc:description/>
  <cp:lastModifiedBy>Mihaela Stoian</cp:lastModifiedBy>
  <cp:revision>5</cp:revision>
  <cp:lastPrinted>2020-09-11T08:29:00Z</cp:lastPrinted>
  <dcterms:created xsi:type="dcterms:W3CDTF">2020-09-11T08:48:00Z</dcterms:created>
  <dcterms:modified xsi:type="dcterms:W3CDTF">2020-09-14T12:50:00Z</dcterms:modified>
</cp:coreProperties>
</file>