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234C" w14:textId="77777777" w:rsidR="007451A8" w:rsidRPr="006E1803" w:rsidRDefault="000F3AEF" w:rsidP="00704955">
      <w:pPr>
        <w:suppressAutoHyphens/>
        <w:spacing w:line="280" w:lineRule="exact"/>
        <w:ind w:left="720"/>
        <w:jc w:val="center"/>
        <w:rPr>
          <w:rFonts w:ascii="Arial" w:hAnsi="Arial" w:cs="Arial"/>
          <w:lang w:val="en-GB"/>
        </w:rPr>
      </w:pPr>
      <w:r w:rsidRPr="006E1803">
        <w:rPr>
          <w:rFonts w:ascii="Arial" w:hAnsi="Arial" w:cs="Arial"/>
          <w:lang w:val="en-GB"/>
        </w:rPr>
        <w:t xml:space="preserve">Instruction </w:t>
      </w:r>
      <w:r w:rsidR="007451A8" w:rsidRPr="006E1803">
        <w:rPr>
          <w:rFonts w:ascii="Arial" w:hAnsi="Arial" w:cs="Arial"/>
          <w:lang w:val="en-GB"/>
        </w:rPr>
        <w:t>1</w:t>
      </w:r>
    </w:p>
    <w:p w14:paraId="328613B2" w14:textId="77777777" w:rsidR="00704955" w:rsidRPr="006E1803" w:rsidRDefault="000F3AEF" w:rsidP="00704955">
      <w:pPr>
        <w:suppressAutoHyphens/>
        <w:spacing w:line="280" w:lineRule="exact"/>
        <w:ind w:left="720"/>
        <w:jc w:val="center"/>
        <w:rPr>
          <w:rFonts w:ascii="Arial" w:hAnsi="Arial" w:cs="Arial"/>
          <w:b/>
          <w:bCs/>
          <w:lang w:val="en-GB"/>
        </w:rPr>
      </w:pPr>
      <w:r w:rsidRPr="006E1803">
        <w:rPr>
          <w:rFonts w:ascii="Arial" w:hAnsi="Arial" w:cs="Arial"/>
          <w:b/>
          <w:bCs/>
          <w:lang w:val="en-GB"/>
        </w:rPr>
        <w:t>Bonds</w:t>
      </w:r>
      <w:r w:rsidR="008D0B27">
        <w:rPr>
          <w:rFonts w:ascii="Arial" w:hAnsi="Arial" w:cs="Arial"/>
          <w:b/>
          <w:bCs/>
          <w:lang w:val="en-GB"/>
        </w:rPr>
        <w:t xml:space="preserve"> </w:t>
      </w:r>
      <w:r w:rsidRPr="006E1803">
        <w:rPr>
          <w:rFonts w:ascii="Arial" w:hAnsi="Arial" w:cs="Arial"/>
          <w:b/>
          <w:bCs/>
          <w:lang w:val="en-GB"/>
        </w:rPr>
        <w:t>covering financial risks</w:t>
      </w:r>
    </w:p>
    <w:p w14:paraId="5CAE5B85" w14:textId="77777777" w:rsidR="004974F4" w:rsidRPr="006E1803" w:rsidRDefault="004974F4" w:rsidP="00704955">
      <w:pPr>
        <w:suppressAutoHyphens/>
        <w:spacing w:line="280" w:lineRule="exact"/>
        <w:ind w:left="720"/>
        <w:jc w:val="center"/>
        <w:rPr>
          <w:rFonts w:ascii="Arial" w:hAnsi="Arial" w:cs="Arial"/>
          <w:lang w:val="en-GB"/>
        </w:rPr>
      </w:pPr>
    </w:p>
    <w:p w14:paraId="27F9DE93" w14:textId="77777777" w:rsidR="00047A4E" w:rsidRPr="006E1803" w:rsidRDefault="000F3AEF">
      <w:pPr>
        <w:widowControl w:val="0"/>
        <w:spacing w:line="280" w:lineRule="exact"/>
        <w:jc w:val="both"/>
        <w:rPr>
          <w:rFonts w:ascii="Arial" w:hAnsi="Arial" w:cs="Arial"/>
          <w:b/>
          <w:bCs/>
          <w:color w:val="000000"/>
          <w:sz w:val="20"/>
          <w:szCs w:val="20"/>
          <w:lang w:val="en-GB"/>
        </w:rPr>
      </w:pPr>
      <w:r w:rsidRPr="006E1803">
        <w:rPr>
          <w:rFonts w:ascii="Arial" w:hAnsi="Arial" w:cs="Arial"/>
          <w:b/>
          <w:sz w:val="20"/>
          <w:lang w:val="en-GB"/>
        </w:rPr>
        <w:t>Definitions</w:t>
      </w:r>
    </w:p>
    <w:p w14:paraId="37DC7E67" w14:textId="77777777" w:rsidR="004974F4" w:rsidRPr="006E1803" w:rsidRDefault="000F3AEF" w:rsidP="004974F4">
      <w:pPr>
        <w:widowControl w:val="0"/>
        <w:spacing w:line="280" w:lineRule="exact"/>
        <w:jc w:val="both"/>
        <w:rPr>
          <w:rFonts w:ascii="Arial" w:hAnsi="Arial" w:cs="Arial"/>
          <w:color w:val="000000"/>
          <w:sz w:val="20"/>
          <w:szCs w:val="20"/>
          <w:lang w:val="en-GB"/>
        </w:rPr>
      </w:pPr>
      <w:r w:rsidRPr="006E1803">
        <w:rPr>
          <w:rFonts w:ascii="Arial" w:hAnsi="Arial" w:cs="Arial"/>
          <w:sz w:val="20"/>
          <w:lang w:val="en-GB"/>
        </w:rPr>
        <w:t xml:space="preserve">In this Instruction, the following terms </w:t>
      </w:r>
      <w:r w:rsidR="00430DA2">
        <w:rPr>
          <w:rFonts w:ascii="Arial" w:hAnsi="Arial" w:cs="Arial"/>
          <w:sz w:val="20"/>
          <w:lang w:val="en-GB"/>
        </w:rPr>
        <w:t>shall</w:t>
      </w:r>
      <w:r w:rsidRPr="006E1803">
        <w:rPr>
          <w:rFonts w:ascii="Arial" w:hAnsi="Arial" w:cs="Arial"/>
          <w:sz w:val="20"/>
          <w:lang w:val="en-GB"/>
        </w:rPr>
        <w:t xml:space="preserve"> be interpreted as follows</w:t>
      </w:r>
      <w:r w:rsidR="004974F4" w:rsidRPr="006E1803">
        <w:rPr>
          <w:rFonts w:ascii="Arial" w:hAnsi="Arial" w:cs="Arial"/>
          <w:color w:val="000000"/>
          <w:sz w:val="20"/>
          <w:szCs w:val="20"/>
          <w:lang w:val="en-GB"/>
        </w:rPr>
        <w:t>:</w:t>
      </w:r>
    </w:p>
    <w:p w14:paraId="20E9F675" w14:textId="77777777" w:rsidR="004974F4" w:rsidRPr="006E1803" w:rsidRDefault="00DA64CC" w:rsidP="004974F4">
      <w:pPr>
        <w:pStyle w:val="rvps8"/>
        <w:widowControl w:val="0"/>
        <w:tabs>
          <w:tab w:val="clear" w:pos="432"/>
          <w:tab w:val="left" w:pos="844"/>
          <w:tab w:val="num" w:pos="5040"/>
        </w:tabs>
        <w:ind w:left="844" w:hanging="844"/>
        <w:rPr>
          <w:color w:val="000000"/>
          <w:lang w:val="en-GB"/>
        </w:rPr>
      </w:pPr>
      <w:r w:rsidRPr="006E1803">
        <w:rPr>
          <w:b/>
          <w:lang w:val="en-GB"/>
        </w:rPr>
        <w:t>Escrow Agent</w:t>
      </w:r>
      <w:r w:rsidR="004974F4" w:rsidRPr="006E1803">
        <w:rPr>
          <w:color w:val="000000"/>
          <w:lang w:val="en-GB"/>
        </w:rPr>
        <w:t xml:space="preserve">– </w:t>
      </w:r>
      <w:r w:rsidR="00011C68" w:rsidRPr="006E1803">
        <w:rPr>
          <w:lang w:val="en-GB"/>
        </w:rPr>
        <w:t xml:space="preserve">the commercial bank that </w:t>
      </w:r>
      <w:r w:rsidR="00430DA2">
        <w:rPr>
          <w:lang w:val="en-GB"/>
        </w:rPr>
        <w:t>shall</w:t>
      </w:r>
      <w:r w:rsidR="00011C68" w:rsidRPr="006E1803">
        <w:rPr>
          <w:lang w:val="en-GB"/>
        </w:rPr>
        <w:t>open at its client's order (C</w:t>
      </w:r>
      <w:r w:rsidR="00B32DEA" w:rsidRPr="006E1803">
        <w:rPr>
          <w:lang w:val="en-GB"/>
        </w:rPr>
        <w:t>M</w:t>
      </w:r>
      <w:r w:rsidR="00011C68" w:rsidRPr="006E1803">
        <w:rPr>
          <w:lang w:val="en-GB"/>
        </w:rPr>
        <w:t xml:space="preserve">) the Escrow Account in favor of the RCE. The Escrow Agent </w:t>
      </w:r>
      <w:r w:rsidR="00430DA2">
        <w:rPr>
          <w:lang w:val="en-GB"/>
        </w:rPr>
        <w:t>shall</w:t>
      </w:r>
      <w:r w:rsidR="00011C68" w:rsidRPr="006E1803">
        <w:rPr>
          <w:lang w:val="en-GB"/>
        </w:rPr>
        <w:t>be the Central Account Bank (BCR) or another bank approved by the RCE</w:t>
      </w:r>
      <w:r w:rsidR="00E545B9" w:rsidRPr="006E1803">
        <w:rPr>
          <w:bCs w:val="0"/>
          <w:color w:val="000000"/>
          <w:lang w:val="en-GB"/>
        </w:rPr>
        <w:t>.</w:t>
      </w:r>
    </w:p>
    <w:p w14:paraId="4AA0B374" w14:textId="77777777" w:rsidR="004974F4" w:rsidRPr="006E1803" w:rsidRDefault="004D02B1" w:rsidP="004974F4">
      <w:pPr>
        <w:pStyle w:val="rvps8"/>
        <w:widowControl w:val="0"/>
        <w:tabs>
          <w:tab w:val="clear" w:pos="432"/>
          <w:tab w:val="left" w:pos="844"/>
          <w:tab w:val="num" w:pos="5040"/>
        </w:tabs>
        <w:ind w:left="844" w:hanging="844"/>
        <w:rPr>
          <w:color w:val="000000"/>
          <w:lang w:val="en-GB"/>
        </w:rPr>
      </w:pPr>
      <w:r w:rsidRPr="006E1803">
        <w:rPr>
          <w:b/>
          <w:lang w:val="en-GB"/>
        </w:rPr>
        <w:t>Central Account Bank (BCR)</w:t>
      </w:r>
      <w:r w:rsidRPr="006E1803">
        <w:rPr>
          <w:lang w:val="en-GB"/>
        </w:rPr>
        <w:t xml:space="preserve"> - Banca Comerciala Romana SA, which acts as a collecting institution in relation to the RCE and to which RCE has opened the Central Market Account to be credited or has been credited with the amounts provided in the Direct Debit Instructions, issued by RCE and debited with the amounts provided in the payment orders</w:t>
      </w:r>
      <w:r w:rsidR="004974F4" w:rsidRPr="006E1803">
        <w:rPr>
          <w:color w:val="000000"/>
          <w:lang w:val="en-GB"/>
        </w:rPr>
        <w:t>.</w:t>
      </w:r>
    </w:p>
    <w:p w14:paraId="121157E3" w14:textId="77777777" w:rsidR="004974F4" w:rsidRPr="006E1803" w:rsidRDefault="00DE6BF2" w:rsidP="004974F4">
      <w:pPr>
        <w:pStyle w:val="rvps8"/>
        <w:widowControl w:val="0"/>
        <w:tabs>
          <w:tab w:val="clear" w:pos="432"/>
          <w:tab w:val="left" w:pos="844"/>
          <w:tab w:val="num" w:pos="5040"/>
        </w:tabs>
        <w:ind w:left="844" w:hanging="844"/>
        <w:rPr>
          <w:color w:val="000000"/>
          <w:lang w:val="en-GB"/>
        </w:rPr>
      </w:pPr>
      <w:r w:rsidRPr="006E1803">
        <w:rPr>
          <w:b/>
          <w:lang w:val="en-GB"/>
        </w:rPr>
        <w:t>Central Account</w:t>
      </w:r>
      <w:r w:rsidRPr="006E1803">
        <w:rPr>
          <w:lang w:val="en-GB"/>
        </w:rPr>
        <w:t xml:space="preserve"> - the account opened with the Central Account Bank in the name of the RCE, which is to be credited or has been credited with the amounts provided in the Direct Debit Instructions, issued by the RCE and debited with the amounts provided in the payment orders. This account is used to collect and make payments related to transactions concluded on the Market</w:t>
      </w:r>
      <w:r w:rsidR="004974F4" w:rsidRPr="006E1803">
        <w:rPr>
          <w:color w:val="000000"/>
          <w:lang w:val="en-GB"/>
        </w:rPr>
        <w:t>.</w:t>
      </w:r>
    </w:p>
    <w:p w14:paraId="3E6564C6" w14:textId="77777777" w:rsidR="004974F4" w:rsidRPr="006E1803" w:rsidRDefault="008D75EF" w:rsidP="004974F4">
      <w:pPr>
        <w:pStyle w:val="rvps8"/>
        <w:widowControl w:val="0"/>
        <w:tabs>
          <w:tab w:val="clear" w:pos="432"/>
          <w:tab w:val="left" w:pos="844"/>
        </w:tabs>
        <w:ind w:left="844" w:hanging="844"/>
        <w:rPr>
          <w:b/>
          <w:bCs w:val="0"/>
          <w:lang w:val="en-GB"/>
        </w:rPr>
      </w:pPr>
      <w:r w:rsidRPr="006E1803">
        <w:rPr>
          <w:b/>
          <w:lang w:val="en-GB"/>
        </w:rPr>
        <w:t xml:space="preserve">Direct debit contract (DDC) </w:t>
      </w:r>
      <w:r w:rsidRPr="006E1803">
        <w:rPr>
          <w:lang w:val="en-GB"/>
        </w:rPr>
        <w:t>- agreement concluded between the RCE and the BCR as a collecting institution, according to the provisions of the provisions of the applicable national and European legislation on direct debit, as well as the acceptance of the Collecting institution regarding the use by the RCE of the Direct debit instructions within a Direct debit scheme</w:t>
      </w:r>
      <w:r w:rsidR="004974F4" w:rsidRPr="006E1803">
        <w:rPr>
          <w:lang w:val="en-GB"/>
        </w:rPr>
        <w:t>.</w:t>
      </w:r>
    </w:p>
    <w:p w14:paraId="52D7DA71" w14:textId="77777777" w:rsidR="004974F4" w:rsidRPr="006E1803" w:rsidRDefault="00157EFB" w:rsidP="004974F4">
      <w:pPr>
        <w:pStyle w:val="rvps8"/>
        <w:widowControl w:val="0"/>
        <w:tabs>
          <w:tab w:val="clear" w:pos="432"/>
          <w:tab w:val="left" w:pos="844"/>
          <w:tab w:val="num" w:pos="5040"/>
        </w:tabs>
        <w:ind w:left="844" w:hanging="844"/>
        <w:rPr>
          <w:color w:val="000000"/>
          <w:lang w:val="en-GB"/>
        </w:rPr>
      </w:pPr>
      <w:r w:rsidRPr="006E1803">
        <w:rPr>
          <w:b/>
          <w:lang w:val="en-GB"/>
        </w:rPr>
        <w:t>Escrow account</w:t>
      </w:r>
      <w:r w:rsidRPr="006E1803">
        <w:rPr>
          <w:lang w:val="en-GB"/>
        </w:rPr>
        <w:t xml:space="preserve"> - the collateral deposit account opened by the Participant at the Escrow Agent</w:t>
      </w:r>
      <w:r w:rsidR="004974F4" w:rsidRPr="006E1803">
        <w:rPr>
          <w:lang w:val="en-GB"/>
        </w:rPr>
        <w:t>.</w:t>
      </w:r>
    </w:p>
    <w:p w14:paraId="3DE40B13" w14:textId="77777777" w:rsidR="00047A4E" w:rsidRPr="006E1803" w:rsidRDefault="007F39F3">
      <w:pPr>
        <w:pStyle w:val="rvps8"/>
        <w:widowControl w:val="0"/>
        <w:tabs>
          <w:tab w:val="clear" w:pos="432"/>
          <w:tab w:val="left" w:pos="844"/>
          <w:tab w:val="num" w:pos="5040"/>
        </w:tabs>
        <w:ind w:left="844" w:hanging="844"/>
        <w:rPr>
          <w:color w:val="000000"/>
          <w:lang w:val="en-GB"/>
        </w:rPr>
      </w:pPr>
      <w:r w:rsidRPr="006E1803">
        <w:rPr>
          <w:b/>
          <w:lang w:val="en-GB"/>
        </w:rPr>
        <w:t>Direct debit</w:t>
      </w:r>
      <w:r w:rsidRPr="006E1803">
        <w:rPr>
          <w:lang w:val="en-GB"/>
        </w:rPr>
        <w:t xml:space="preserve"> - method of payment of a sum of money agreed between the buyer</w:t>
      </w:r>
      <w:r w:rsidR="00066A80">
        <w:rPr>
          <w:lang w:val="en-GB"/>
        </w:rPr>
        <w:t xml:space="preserve"> CM</w:t>
      </w:r>
      <w:r w:rsidRPr="006E1803">
        <w:rPr>
          <w:lang w:val="en-GB"/>
        </w:rPr>
        <w:t xml:space="preserve"> and the RCE, which consists in the pre-authorized debit of the buyer</w:t>
      </w:r>
      <w:r w:rsidR="00066A80">
        <w:rPr>
          <w:lang w:val="en-GB"/>
        </w:rPr>
        <w:t xml:space="preserve"> CM</w:t>
      </w:r>
      <w:r w:rsidRPr="006E1803">
        <w:rPr>
          <w:lang w:val="en-GB"/>
        </w:rPr>
        <w:t xml:space="preserve"> account by the paying Institution based on the provisions of the Direct Debit Mandate, upon the request of the RCE and the corresponding crediting of the RCE account by the Central bank account based on the Direct Debit Contract; this method of payment does not require the prior authorization by the Buying Participant of each direct debit instruction drawn on his account, as regulated in the NBR Regulation no. 2/2016 on credit transfer and direct debit operations</w:t>
      </w:r>
      <w:r w:rsidR="004974F4" w:rsidRPr="006E1803">
        <w:rPr>
          <w:color w:val="000000"/>
          <w:lang w:val="en-GB"/>
        </w:rPr>
        <w:t>.</w:t>
      </w:r>
    </w:p>
    <w:p w14:paraId="7089B290" w14:textId="77777777" w:rsidR="004974F4" w:rsidRPr="006E1803" w:rsidRDefault="0083080E" w:rsidP="004974F4">
      <w:pPr>
        <w:pStyle w:val="rvps8"/>
        <w:widowControl w:val="0"/>
        <w:tabs>
          <w:tab w:val="clear" w:pos="432"/>
          <w:tab w:val="left" w:pos="844"/>
        </w:tabs>
        <w:ind w:left="844" w:hanging="844"/>
        <w:rPr>
          <w:rStyle w:val="rvts9"/>
          <w:bCs w:val="0"/>
          <w:lang w:val="en-GB"/>
        </w:rPr>
      </w:pPr>
      <w:r w:rsidRPr="006E1803">
        <w:rPr>
          <w:b/>
          <w:lang w:val="en-GB"/>
        </w:rPr>
        <w:t>Paying institution</w:t>
      </w:r>
      <w:r w:rsidRPr="006E1803">
        <w:rPr>
          <w:lang w:val="en-GB"/>
        </w:rPr>
        <w:t xml:space="preserve"> - the credit institution with which the Participant has opened the current account to be debited or has been debited with the amount provided in the Direct Debit Instruction. The paying institution </w:t>
      </w:r>
      <w:r w:rsidR="00430DA2">
        <w:rPr>
          <w:lang w:val="en-GB"/>
        </w:rPr>
        <w:t>shall</w:t>
      </w:r>
      <w:r w:rsidRPr="006E1803">
        <w:rPr>
          <w:lang w:val="en-GB"/>
        </w:rPr>
        <w:t>be the Central Account Bank (BCR) or another bank approved by the RCE</w:t>
      </w:r>
      <w:r w:rsidR="00E545B9" w:rsidRPr="006E1803">
        <w:rPr>
          <w:bCs w:val="0"/>
          <w:color w:val="000000"/>
          <w:lang w:val="en-GB"/>
        </w:rPr>
        <w:t>.</w:t>
      </w:r>
    </w:p>
    <w:p w14:paraId="6D943645" w14:textId="77777777" w:rsidR="00047A4E" w:rsidRPr="006E1803" w:rsidRDefault="0007371B">
      <w:pPr>
        <w:pStyle w:val="rvps8"/>
        <w:widowControl w:val="0"/>
        <w:tabs>
          <w:tab w:val="clear" w:pos="432"/>
          <w:tab w:val="left" w:pos="844"/>
        </w:tabs>
        <w:ind w:left="844" w:hanging="844"/>
        <w:rPr>
          <w:bCs w:val="0"/>
          <w:lang w:val="en-GB"/>
        </w:rPr>
      </w:pPr>
      <w:r w:rsidRPr="006E1803">
        <w:rPr>
          <w:b/>
          <w:lang w:val="en-GB"/>
        </w:rPr>
        <w:t>Direct debit instruction (DDI)</w:t>
      </w:r>
      <w:r w:rsidRPr="006E1803">
        <w:rPr>
          <w:lang w:val="en-GB"/>
        </w:rPr>
        <w:t xml:space="preserve"> - direct debit payment instruction issued by the RCE to the Central Account Bank to which the  RCE has opened the Central Account that </w:t>
      </w:r>
      <w:r w:rsidR="00430DA2">
        <w:rPr>
          <w:lang w:val="en-GB"/>
        </w:rPr>
        <w:t>shall</w:t>
      </w:r>
      <w:r w:rsidRPr="006E1803">
        <w:rPr>
          <w:lang w:val="en-GB"/>
        </w:rPr>
        <w:t xml:space="preserve">be credited or has been credited by the paying institution with which </w:t>
      </w:r>
      <w:r w:rsidR="00066A80">
        <w:rPr>
          <w:lang w:val="en-GB"/>
        </w:rPr>
        <w:t>the CM</w:t>
      </w:r>
      <w:r w:rsidRPr="006E1803">
        <w:rPr>
          <w:lang w:val="en-GB"/>
        </w:rPr>
        <w:t xml:space="preserve"> has opened the current </w:t>
      </w:r>
      <w:r w:rsidRPr="006E1803">
        <w:rPr>
          <w:lang w:val="en-GB"/>
        </w:rPr>
        <w:lastRenderedPageBreak/>
        <w:t xml:space="preserve">account that </w:t>
      </w:r>
      <w:r w:rsidR="00430DA2">
        <w:rPr>
          <w:lang w:val="en-GB"/>
        </w:rPr>
        <w:t>shall</w:t>
      </w:r>
      <w:r w:rsidRPr="006E1803">
        <w:rPr>
          <w:lang w:val="en-GB"/>
        </w:rPr>
        <w:t>be debited or has been debited with the amount provided in the respective Direct debit Instruction</w:t>
      </w:r>
      <w:r w:rsidR="00B478B5" w:rsidRPr="006E1803">
        <w:rPr>
          <w:rStyle w:val="rvts9"/>
          <w:b/>
          <w:bCs w:val="0"/>
          <w:lang w:val="en-GB"/>
        </w:rPr>
        <w:t>.</w:t>
      </w:r>
    </w:p>
    <w:p w14:paraId="69F2EDEC" w14:textId="77777777" w:rsidR="004974F4" w:rsidRPr="006E1803" w:rsidRDefault="0007371B" w:rsidP="004974F4">
      <w:pPr>
        <w:pStyle w:val="rvps8"/>
        <w:widowControl w:val="0"/>
        <w:tabs>
          <w:tab w:val="clear" w:pos="432"/>
          <w:tab w:val="left" w:pos="844"/>
        </w:tabs>
        <w:ind w:left="844" w:hanging="844"/>
        <w:rPr>
          <w:lang w:val="en-GB"/>
        </w:rPr>
      </w:pPr>
      <w:r w:rsidRPr="006E1803">
        <w:rPr>
          <w:b/>
          <w:lang w:val="en-GB"/>
        </w:rPr>
        <w:t>Direct debit mandate</w:t>
      </w:r>
      <w:r w:rsidRPr="006E1803">
        <w:rPr>
          <w:lang w:val="en-GB"/>
        </w:rPr>
        <w:t xml:space="preserve"> - a document that satisfies the legal requirements and by which a Participant grants a permanent but revocable authorization to the RCE to issue Direct Debit Instructions on its current account opened with the Paying Institution and, respectively, the right of the Paying Institution to debit its current account with the amount provided in the Direct Debit Instructions issued by the RCE</w:t>
      </w:r>
      <w:r w:rsidR="004974F4" w:rsidRPr="006E1803">
        <w:rPr>
          <w:lang w:val="en-GB"/>
        </w:rPr>
        <w:t>.</w:t>
      </w:r>
    </w:p>
    <w:p w14:paraId="279E767D" w14:textId="77777777" w:rsidR="004974F4" w:rsidRPr="006E1803" w:rsidRDefault="002125D9" w:rsidP="004974F4">
      <w:pPr>
        <w:pStyle w:val="rvps8"/>
        <w:widowControl w:val="0"/>
        <w:tabs>
          <w:tab w:val="clear" w:pos="432"/>
          <w:tab w:val="num" w:pos="844"/>
        </w:tabs>
        <w:ind w:left="844" w:hanging="844"/>
        <w:rPr>
          <w:lang w:val="en-GB"/>
        </w:rPr>
      </w:pPr>
      <w:r w:rsidRPr="006E1803">
        <w:rPr>
          <w:b/>
          <w:lang w:val="en-GB"/>
        </w:rPr>
        <w:t>Performance bond</w:t>
      </w:r>
      <w:r w:rsidR="004974F4" w:rsidRPr="006E1803">
        <w:rPr>
          <w:b/>
          <w:lang w:val="en-GB"/>
        </w:rPr>
        <w:t xml:space="preserve"> (</w:t>
      </w:r>
      <w:r w:rsidRPr="006E1803">
        <w:rPr>
          <w:b/>
          <w:lang w:val="en-GB"/>
        </w:rPr>
        <w:t>PB</w:t>
      </w:r>
      <w:r w:rsidR="004974F4" w:rsidRPr="006E1803">
        <w:rPr>
          <w:b/>
          <w:lang w:val="en-GB"/>
        </w:rPr>
        <w:t>)</w:t>
      </w:r>
      <w:r w:rsidR="004974F4" w:rsidRPr="006E1803">
        <w:rPr>
          <w:lang w:val="en-GB"/>
        </w:rPr>
        <w:t xml:space="preserve"> – </w:t>
      </w:r>
      <w:r w:rsidRPr="006E1803">
        <w:rPr>
          <w:lang w:val="en-GB"/>
        </w:rPr>
        <w:t>the financial instrument by which the Participant establishes in favor of the RCE a payment bond according to the provisions of this Contract</w:t>
      </w:r>
      <w:r w:rsidR="004974F4" w:rsidRPr="006E1803">
        <w:rPr>
          <w:lang w:val="en-GB"/>
        </w:rPr>
        <w:t xml:space="preserve">. </w:t>
      </w:r>
    </w:p>
    <w:p w14:paraId="053467A4" w14:textId="77777777" w:rsidR="00047A4E" w:rsidRPr="006E1803" w:rsidRDefault="00D91D01">
      <w:pPr>
        <w:pStyle w:val="rvps8"/>
        <w:widowControl w:val="0"/>
        <w:numPr>
          <w:ilvl w:val="0"/>
          <w:numId w:val="0"/>
        </w:numPr>
        <w:tabs>
          <w:tab w:val="left" w:pos="844"/>
        </w:tabs>
        <w:spacing w:before="240"/>
        <w:outlineLvl w:val="3"/>
        <w:rPr>
          <w:rFonts w:eastAsiaTheme="minorHAnsi"/>
          <w:noProof w:val="0"/>
          <w:lang w:val="en-GB"/>
        </w:rPr>
      </w:pPr>
      <w:r w:rsidRPr="006E1803">
        <w:rPr>
          <w:lang w:val="en-GB"/>
        </w:rPr>
        <w:t xml:space="preserve">The other terms or expressions written in capital letters </w:t>
      </w:r>
      <w:r w:rsidR="00430DA2">
        <w:rPr>
          <w:lang w:val="en-GB"/>
        </w:rPr>
        <w:t>shall</w:t>
      </w:r>
      <w:r w:rsidRPr="006E1803">
        <w:rPr>
          <w:lang w:val="en-GB"/>
        </w:rPr>
        <w:t xml:space="preserve">have the meaning defined in the </w:t>
      </w:r>
      <w:r w:rsidR="00AB2B24">
        <w:rPr>
          <w:lang w:val="en-GB"/>
        </w:rPr>
        <w:t>Clearing</w:t>
      </w:r>
      <w:r w:rsidRPr="006E1803">
        <w:rPr>
          <w:lang w:val="en-GB"/>
        </w:rPr>
        <w:t xml:space="preserve">, settlement and risk management </w:t>
      </w:r>
      <w:r w:rsidR="00AB2B24" w:rsidRPr="006E1803">
        <w:rPr>
          <w:lang w:val="en-GB"/>
        </w:rPr>
        <w:t xml:space="preserve">Regulation </w:t>
      </w:r>
      <w:r w:rsidRPr="006E1803">
        <w:rPr>
          <w:lang w:val="en-GB"/>
        </w:rPr>
        <w:t>of the Romanian Commodities Exchange as Central Counterparty.</w:t>
      </w:r>
    </w:p>
    <w:p w14:paraId="4678A3F8" w14:textId="77777777" w:rsidR="005038BD" w:rsidRPr="006E1803" w:rsidRDefault="005038BD" w:rsidP="00704955">
      <w:pPr>
        <w:jc w:val="both"/>
        <w:rPr>
          <w:rFonts w:ascii="Arial" w:eastAsia="Times New Roman" w:hAnsi="Arial" w:cs="Arial"/>
          <w:b/>
          <w:bCs/>
          <w:noProof/>
          <w:color w:val="000000"/>
          <w:sz w:val="20"/>
          <w:szCs w:val="20"/>
          <w:lang w:val="en-GB"/>
        </w:rPr>
      </w:pPr>
    </w:p>
    <w:p w14:paraId="1D372D13" w14:textId="77777777" w:rsidR="00704955" w:rsidRPr="006E1803" w:rsidRDefault="00D91D01" w:rsidP="00704955">
      <w:pPr>
        <w:jc w:val="both"/>
        <w:rPr>
          <w:rFonts w:ascii="Arial" w:eastAsia="Times New Roman" w:hAnsi="Arial" w:cs="Arial"/>
          <w:b/>
          <w:bCs/>
          <w:noProof/>
          <w:color w:val="000000"/>
          <w:sz w:val="20"/>
          <w:szCs w:val="20"/>
          <w:lang w:val="en-GB"/>
        </w:rPr>
      </w:pPr>
      <w:r w:rsidRPr="006E1803">
        <w:rPr>
          <w:rFonts w:ascii="Arial" w:hAnsi="Arial" w:cs="Arial"/>
          <w:b/>
          <w:sz w:val="20"/>
          <w:lang w:val="en-GB"/>
        </w:rPr>
        <w:t>Direct debit</w:t>
      </w:r>
    </w:p>
    <w:p w14:paraId="68C8EC6B" w14:textId="77777777" w:rsidR="00047A4E" w:rsidRPr="006E1803" w:rsidRDefault="00704955">
      <w:pPr>
        <w:ind w:left="720" w:hanging="720"/>
        <w:jc w:val="both"/>
        <w:rPr>
          <w:rFonts w:ascii="Arial" w:eastAsia="Times New Roman" w:hAnsi="Arial" w:cs="Arial"/>
          <w:bCs/>
          <w:noProof/>
          <w:color w:val="000000"/>
          <w:sz w:val="20"/>
          <w:szCs w:val="20"/>
          <w:lang w:val="en-GB"/>
        </w:rPr>
      </w:pPr>
      <w:r w:rsidRPr="006E1803">
        <w:rPr>
          <w:rFonts w:ascii="Arial" w:eastAsia="Times New Roman" w:hAnsi="Arial" w:cs="Arial"/>
          <w:bCs/>
          <w:noProof/>
          <w:color w:val="000000"/>
          <w:sz w:val="20"/>
          <w:szCs w:val="20"/>
          <w:lang w:val="en-GB"/>
        </w:rPr>
        <w:t>1.</w:t>
      </w:r>
      <w:r w:rsidRPr="006E1803">
        <w:rPr>
          <w:rFonts w:ascii="Arial" w:eastAsia="Times New Roman" w:hAnsi="Arial" w:cs="Arial"/>
          <w:bCs/>
          <w:noProof/>
          <w:color w:val="000000"/>
          <w:sz w:val="20"/>
          <w:szCs w:val="20"/>
          <w:lang w:val="en-GB"/>
        </w:rPr>
        <w:tab/>
      </w:r>
      <w:r w:rsidR="00066A80">
        <w:rPr>
          <w:rFonts w:ascii="Arial" w:hAnsi="Arial" w:cs="Arial"/>
          <w:sz w:val="20"/>
          <w:lang w:val="en-GB"/>
        </w:rPr>
        <w:t xml:space="preserve">The </w:t>
      </w:r>
      <w:r w:rsidR="00066A80">
        <w:rPr>
          <w:lang w:val="en-GB"/>
        </w:rPr>
        <w:t>CM</w:t>
      </w:r>
      <w:r w:rsidR="00D91D01" w:rsidRPr="006E1803">
        <w:rPr>
          <w:rFonts w:ascii="Arial" w:hAnsi="Arial" w:cs="Arial"/>
          <w:sz w:val="20"/>
          <w:lang w:val="en-GB"/>
        </w:rPr>
        <w:t xml:space="preserve"> shall conclude a Direct Debit Mandate for the benefit of the RCE which represents the basis on which the </w:t>
      </w:r>
      <w:r w:rsidR="00066A80">
        <w:rPr>
          <w:lang w:val="en-GB"/>
        </w:rPr>
        <w:t>CM</w:t>
      </w:r>
      <w:r w:rsidR="00D91D01" w:rsidRPr="006E1803">
        <w:rPr>
          <w:rFonts w:ascii="Arial" w:hAnsi="Arial" w:cs="Arial"/>
          <w:sz w:val="20"/>
          <w:lang w:val="en-GB"/>
        </w:rPr>
        <w:t xml:space="preserve">bank, as Paying Institution, </w:t>
      </w:r>
      <w:r w:rsidR="00430DA2">
        <w:rPr>
          <w:rFonts w:ascii="Arial" w:hAnsi="Arial" w:cs="Arial"/>
          <w:sz w:val="20"/>
          <w:lang w:val="en-GB"/>
        </w:rPr>
        <w:t>shall</w:t>
      </w:r>
      <w:r w:rsidR="00066A80">
        <w:rPr>
          <w:rFonts w:ascii="Arial" w:hAnsi="Arial" w:cs="Arial"/>
          <w:sz w:val="20"/>
          <w:lang w:val="en-GB"/>
        </w:rPr>
        <w:t xml:space="preserve">debit the current account of </w:t>
      </w:r>
      <w:r w:rsidR="00D91D01" w:rsidRPr="006E1803">
        <w:rPr>
          <w:rFonts w:ascii="Arial" w:hAnsi="Arial" w:cs="Arial"/>
          <w:sz w:val="20"/>
          <w:lang w:val="en-GB"/>
        </w:rPr>
        <w:t>C</w:t>
      </w:r>
      <w:r w:rsidR="00066A80">
        <w:rPr>
          <w:rFonts w:ascii="Arial" w:hAnsi="Arial" w:cs="Arial"/>
          <w:sz w:val="20"/>
          <w:lang w:val="en-GB"/>
        </w:rPr>
        <w:t>M</w:t>
      </w:r>
      <w:r w:rsidR="00D91D01" w:rsidRPr="006E1803">
        <w:rPr>
          <w:rFonts w:ascii="Arial" w:hAnsi="Arial" w:cs="Arial"/>
          <w:sz w:val="20"/>
          <w:lang w:val="en-GB"/>
        </w:rPr>
        <w:t xml:space="preserve"> with the amount provided in each Direct Debit Instruction issued by the RCE and which </w:t>
      </w:r>
      <w:r w:rsidR="00430DA2">
        <w:rPr>
          <w:rFonts w:ascii="Arial" w:hAnsi="Arial" w:cs="Arial"/>
          <w:sz w:val="20"/>
          <w:lang w:val="en-GB"/>
        </w:rPr>
        <w:t>shall</w:t>
      </w:r>
      <w:r w:rsidR="00D91D01" w:rsidRPr="006E1803">
        <w:rPr>
          <w:rFonts w:ascii="Arial" w:hAnsi="Arial" w:cs="Arial"/>
          <w:sz w:val="20"/>
          <w:lang w:val="en-GB"/>
        </w:rPr>
        <w:t>be placed at the disposal of the Central Account Bank upon its request</w:t>
      </w:r>
      <w:r w:rsidRPr="006E1803">
        <w:rPr>
          <w:rFonts w:ascii="Arial" w:eastAsia="Times New Roman" w:hAnsi="Arial" w:cs="Arial"/>
          <w:bCs/>
          <w:noProof/>
          <w:color w:val="000000"/>
          <w:sz w:val="20"/>
          <w:szCs w:val="20"/>
          <w:lang w:val="en-GB"/>
        </w:rPr>
        <w:t>.</w:t>
      </w:r>
    </w:p>
    <w:p w14:paraId="7F22BFC0" w14:textId="77777777" w:rsidR="00047A4E" w:rsidRPr="006E1803" w:rsidRDefault="00704955">
      <w:pPr>
        <w:ind w:left="720" w:hanging="720"/>
        <w:jc w:val="both"/>
        <w:rPr>
          <w:rFonts w:ascii="Arial" w:eastAsia="Times New Roman" w:hAnsi="Arial" w:cs="Arial"/>
          <w:bCs/>
          <w:noProof/>
          <w:color w:val="000000"/>
          <w:sz w:val="20"/>
          <w:szCs w:val="20"/>
          <w:lang w:val="en-GB"/>
        </w:rPr>
      </w:pPr>
      <w:r w:rsidRPr="006E1803">
        <w:rPr>
          <w:rFonts w:ascii="Arial" w:eastAsia="Times New Roman" w:hAnsi="Arial" w:cs="Arial"/>
          <w:bCs/>
          <w:noProof/>
          <w:color w:val="000000"/>
          <w:sz w:val="20"/>
          <w:szCs w:val="20"/>
          <w:lang w:val="en-GB"/>
        </w:rPr>
        <w:t>2.</w:t>
      </w:r>
      <w:r w:rsidRPr="006E1803">
        <w:rPr>
          <w:rFonts w:ascii="Arial" w:eastAsia="Times New Roman" w:hAnsi="Arial" w:cs="Arial"/>
          <w:bCs/>
          <w:noProof/>
          <w:color w:val="000000"/>
          <w:sz w:val="20"/>
          <w:szCs w:val="20"/>
          <w:lang w:val="en-GB"/>
        </w:rPr>
        <w:tab/>
      </w:r>
      <w:r w:rsidR="008E6C16" w:rsidRPr="006E1803">
        <w:rPr>
          <w:rFonts w:ascii="Arial" w:hAnsi="Arial" w:cs="Arial"/>
          <w:sz w:val="20"/>
          <w:lang w:val="en-GB"/>
        </w:rPr>
        <w:t xml:space="preserve">The direct debit </w:t>
      </w:r>
      <w:r w:rsidR="00430DA2">
        <w:rPr>
          <w:rFonts w:ascii="Arial" w:hAnsi="Arial" w:cs="Arial"/>
          <w:sz w:val="20"/>
          <w:lang w:val="en-GB"/>
        </w:rPr>
        <w:t>shall</w:t>
      </w:r>
      <w:r w:rsidR="008E6C16" w:rsidRPr="006E1803">
        <w:rPr>
          <w:rFonts w:ascii="Arial" w:hAnsi="Arial" w:cs="Arial"/>
          <w:sz w:val="20"/>
          <w:lang w:val="en-GB"/>
        </w:rPr>
        <w:t xml:space="preserve">be made for the Margin Call. The Direct Debit Contract (DDC) and the Direct Debit Mandate </w:t>
      </w:r>
      <w:r w:rsidR="00430DA2">
        <w:rPr>
          <w:rFonts w:ascii="Arial" w:hAnsi="Arial" w:cs="Arial"/>
          <w:sz w:val="20"/>
          <w:lang w:val="en-GB"/>
        </w:rPr>
        <w:t>shall</w:t>
      </w:r>
      <w:r w:rsidR="008E6C16" w:rsidRPr="006E1803">
        <w:rPr>
          <w:rFonts w:ascii="Arial" w:hAnsi="Arial" w:cs="Arial"/>
          <w:sz w:val="20"/>
          <w:lang w:val="en-GB"/>
        </w:rPr>
        <w:t xml:space="preserve">also allow the consultation of the current account balance of the </w:t>
      </w:r>
      <w:r w:rsidR="00066A80" w:rsidRPr="006E1803">
        <w:rPr>
          <w:rFonts w:ascii="Arial" w:hAnsi="Arial" w:cs="Arial"/>
          <w:sz w:val="20"/>
          <w:lang w:val="en-GB"/>
        </w:rPr>
        <w:t>C</w:t>
      </w:r>
      <w:r w:rsidR="00066A80">
        <w:rPr>
          <w:rFonts w:ascii="Arial" w:hAnsi="Arial" w:cs="Arial"/>
          <w:sz w:val="20"/>
          <w:lang w:val="en-GB"/>
        </w:rPr>
        <w:t>M</w:t>
      </w:r>
      <w:r w:rsidR="008E6C16" w:rsidRPr="006E1803">
        <w:rPr>
          <w:rFonts w:ascii="Arial" w:hAnsi="Arial" w:cs="Arial"/>
          <w:sz w:val="20"/>
          <w:lang w:val="en-GB"/>
        </w:rPr>
        <w:t xml:space="preserve"> opened with the Central Account Bank (BCR) or at a Paying Institution that has a direct debit agreement with the Central Account Bank (BCR) and the communication of this balance to the RCE at any time</w:t>
      </w:r>
      <w:r w:rsidRPr="006E1803">
        <w:rPr>
          <w:rFonts w:ascii="Arial" w:eastAsia="Times New Roman" w:hAnsi="Arial" w:cs="Arial"/>
          <w:bCs/>
          <w:noProof/>
          <w:color w:val="000000"/>
          <w:sz w:val="20"/>
          <w:szCs w:val="20"/>
          <w:lang w:val="en-GB"/>
        </w:rPr>
        <w:t>.</w:t>
      </w:r>
    </w:p>
    <w:p w14:paraId="732324C1" w14:textId="77777777" w:rsidR="00704955" w:rsidRPr="006E1803" w:rsidRDefault="008616EB" w:rsidP="000A69A8">
      <w:pPr>
        <w:pStyle w:val="rvps8"/>
        <w:widowControl w:val="0"/>
        <w:numPr>
          <w:ilvl w:val="0"/>
          <w:numId w:val="0"/>
        </w:numPr>
        <w:tabs>
          <w:tab w:val="clear" w:pos="972"/>
          <w:tab w:val="left" w:pos="844"/>
          <w:tab w:val="num" w:pos="5040"/>
        </w:tabs>
        <w:ind w:left="432" w:hanging="432"/>
        <w:rPr>
          <w:b/>
          <w:color w:val="000000"/>
          <w:lang w:val="en-GB"/>
        </w:rPr>
      </w:pPr>
      <w:r w:rsidRPr="006E1803">
        <w:rPr>
          <w:b/>
          <w:lang w:val="en-GB"/>
        </w:rPr>
        <w:t>Guarantee of transactions</w:t>
      </w:r>
    </w:p>
    <w:p w14:paraId="2645F1A2" w14:textId="77777777" w:rsidR="00047A4E" w:rsidRPr="006E1803" w:rsidRDefault="008616EB">
      <w:pPr>
        <w:pStyle w:val="BodyTextIndent"/>
        <w:widowControl w:val="0"/>
        <w:numPr>
          <w:ilvl w:val="0"/>
          <w:numId w:val="8"/>
        </w:numPr>
        <w:tabs>
          <w:tab w:val="left" w:pos="814"/>
          <w:tab w:val="left" w:pos="4678"/>
        </w:tabs>
        <w:spacing w:after="200" w:line="280" w:lineRule="exact"/>
        <w:ind w:left="810" w:hanging="810"/>
        <w:rPr>
          <w:rFonts w:ascii="Arial" w:hAnsi="Arial" w:cs="Arial"/>
          <w:sz w:val="20"/>
          <w:szCs w:val="20"/>
          <w:lang w:val="en-GB"/>
        </w:rPr>
      </w:pPr>
      <w:r w:rsidRPr="006E1803">
        <w:rPr>
          <w:rFonts w:ascii="Arial" w:hAnsi="Arial" w:cs="Arial"/>
          <w:sz w:val="20"/>
          <w:lang w:val="en-GB"/>
        </w:rPr>
        <w:t xml:space="preserve">In order to guarantee the Margins and in order to cover the financial exposure to the RCE, </w:t>
      </w:r>
      <w:r w:rsidR="00066A80">
        <w:rPr>
          <w:rFonts w:ascii="Arial" w:hAnsi="Arial" w:cs="Arial"/>
          <w:sz w:val="20"/>
          <w:lang w:val="en-GB"/>
        </w:rPr>
        <w:t xml:space="preserve">the </w:t>
      </w:r>
      <w:r w:rsidR="00066A80" w:rsidRPr="006E1803">
        <w:rPr>
          <w:rFonts w:ascii="Arial" w:hAnsi="Arial" w:cs="Arial"/>
          <w:sz w:val="20"/>
          <w:lang w:val="en-GB"/>
        </w:rPr>
        <w:t>C</w:t>
      </w:r>
      <w:r w:rsidR="00066A80">
        <w:rPr>
          <w:rFonts w:ascii="Arial" w:hAnsi="Arial" w:cs="Arial"/>
          <w:sz w:val="20"/>
          <w:lang w:val="en-GB"/>
        </w:rPr>
        <w:t>M</w:t>
      </w:r>
      <w:r w:rsidR="00430DA2">
        <w:rPr>
          <w:rFonts w:ascii="Arial" w:hAnsi="Arial" w:cs="Arial"/>
          <w:sz w:val="20"/>
          <w:lang w:val="en-GB"/>
        </w:rPr>
        <w:t>shall</w:t>
      </w:r>
      <w:r w:rsidRPr="006E1803">
        <w:rPr>
          <w:rFonts w:ascii="Arial" w:hAnsi="Arial" w:cs="Arial"/>
          <w:sz w:val="20"/>
          <w:lang w:val="en-GB"/>
        </w:rPr>
        <w:t>be able to constitute the following types of Bonds</w:t>
      </w:r>
      <w:r w:rsidR="005F5203" w:rsidRPr="006E1803">
        <w:rPr>
          <w:rFonts w:ascii="Arial" w:hAnsi="Arial" w:cs="Arial"/>
          <w:sz w:val="20"/>
          <w:szCs w:val="20"/>
          <w:lang w:val="en-GB"/>
        </w:rPr>
        <w:t xml:space="preserve">:  </w:t>
      </w:r>
    </w:p>
    <w:p w14:paraId="64538E85" w14:textId="77777777" w:rsidR="005F5203" w:rsidRPr="006E1803" w:rsidRDefault="008616EB" w:rsidP="005F5203">
      <w:pPr>
        <w:pStyle w:val="BodyTextIndent"/>
        <w:widowControl w:val="0"/>
        <w:numPr>
          <w:ilvl w:val="0"/>
          <w:numId w:val="2"/>
        </w:numPr>
        <w:tabs>
          <w:tab w:val="left" w:pos="1381"/>
        </w:tabs>
        <w:spacing w:before="240" w:after="200" w:line="280" w:lineRule="exact"/>
        <w:ind w:left="1381" w:hanging="567"/>
        <w:outlineLvl w:val="3"/>
        <w:rPr>
          <w:rFonts w:ascii="Arial" w:hAnsi="Arial" w:cs="Arial"/>
          <w:color w:val="000000"/>
          <w:sz w:val="20"/>
          <w:szCs w:val="20"/>
          <w:lang w:val="en-GB"/>
        </w:rPr>
      </w:pPr>
      <w:r w:rsidRPr="006E1803">
        <w:rPr>
          <w:rFonts w:ascii="Arial" w:hAnsi="Arial" w:cs="Arial"/>
          <w:sz w:val="20"/>
          <w:lang w:val="en-GB"/>
        </w:rPr>
        <w:t>Performance bond (PB</w:t>
      </w:r>
      <w:r w:rsidR="005F5203" w:rsidRPr="006E1803">
        <w:rPr>
          <w:rFonts w:ascii="Arial" w:hAnsi="Arial" w:cs="Arial"/>
          <w:color w:val="000000"/>
          <w:sz w:val="20"/>
          <w:szCs w:val="20"/>
          <w:lang w:val="en-GB"/>
        </w:rPr>
        <w:t xml:space="preserve">) </w:t>
      </w:r>
      <w:r w:rsidRPr="006E1803">
        <w:rPr>
          <w:rFonts w:ascii="Arial" w:hAnsi="Arial" w:cs="Arial"/>
          <w:sz w:val="20"/>
          <w:lang w:val="en-GB"/>
        </w:rPr>
        <w:t xml:space="preserve">in </w:t>
      </w:r>
      <w:r w:rsidR="000B38F2" w:rsidRPr="006E1803">
        <w:rPr>
          <w:rFonts w:ascii="Arial" w:hAnsi="Arial" w:cs="Arial"/>
          <w:sz w:val="20"/>
          <w:lang w:val="en-GB"/>
        </w:rPr>
        <w:t>favour</w:t>
      </w:r>
      <w:r w:rsidRPr="006E1803">
        <w:rPr>
          <w:rFonts w:ascii="Arial" w:hAnsi="Arial" w:cs="Arial"/>
          <w:sz w:val="20"/>
          <w:lang w:val="en-GB"/>
        </w:rPr>
        <w:t xml:space="preserve"> of the RCE issued by the Central Account Bank or by another commercial bank authorized in Romania and accepted by the RCE and / or</w:t>
      </w:r>
    </w:p>
    <w:p w14:paraId="748F66C5" w14:textId="77777777" w:rsidR="005F5203" w:rsidRPr="006E1803" w:rsidRDefault="008616EB" w:rsidP="005F5203">
      <w:pPr>
        <w:pStyle w:val="BodyTextIndent"/>
        <w:widowControl w:val="0"/>
        <w:numPr>
          <w:ilvl w:val="0"/>
          <w:numId w:val="2"/>
        </w:numPr>
        <w:tabs>
          <w:tab w:val="left" w:pos="1381"/>
        </w:tabs>
        <w:spacing w:before="240" w:after="200" w:line="280" w:lineRule="exact"/>
        <w:ind w:left="1381" w:hanging="567"/>
        <w:outlineLvl w:val="3"/>
        <w:rPr>
          <w:rFonts w:ascii="Arial" w:hAnsi="Arial" w:cs="Arial"/>
          <w:color w:val="000000"/>
          <w:sz w:val="20"/>
          <w:szCs w:val="20"/>
          <w:lang w:val="en-GB"/>
        </w:rPr>
      </w:pPr>
      <w:r w:rsidRPr="006E1803">
        <w:rPr>
          <w:rFonts w:ascii="Arial" w:hAnsi="Arial" w:cs="Arial"/>
          <w:sz w:val="20"/>
          <w:lang w:val="en-GB"/>
        </w:rPr>
        <w:t xml:space="preserve">Escrow account in </w:t>
      </w:r>
      <w:r w:rsidR="000B38F2" w:rsidRPr="006E1803">
        <w:rPr>
          <w:rFonts w:ascii="Arial" w:hAnsi="Arial" w:cs="Arial"/>
          <w:sz w:val="20"/>
          <w:lang w:val="en-GB"/>
        </w:rPr>
        <w:t>favour</w:t>
      </w:r>
      <w:r w:rsidRPr="006E1803">
        <w:rPr>
          <w:rFonts w:ascii="Arial" w:hAnsi="Arial" w:cs="Arial"/>
          <w:sz w:val="20"/>
          <w:lang w:val="en-GB"/>
        </w:rPr>
        <w:t xml:space="preserve"> of the RCE at the Central Account Bank or at another commercial bank authorized in Romania and accepted by the RCE, which </w:t>
      </w:r>
      <w:r w:rsidR="00430DA2">
        <w:rPr>
          <w:rFonts w:ascii="Arial" w:hAnsi="Arial" w:cs="Arial"/>
          <w:sz w:val="20"/>
          <w:lang w:val="en-GB"/>
        </w:rPr>
        <w:t>shall</w:t>
      </w:r>
      <w:r w:rsidRPr="006E1803">
        <w:rPr>
          <w:rFonts w:ascii="Arial" w:hAnsi="Arial" w:cs="Arial"/>
          <w:sz w:val="20"/>
          <w:lang w:val="en-GB"/>
        </w:rPr>
        <w:t>be constituted as Escrow Agent</w:t>
      </w:r>
      <w:r w:rsidR="005F5203" w:rsidRPr="006E1803">
        <w:rPr>
          <w:rFonts w:ascii="Arial" w:hAnsi="Arial" w:cs="Arial"/>
          <w:color w:val="000000"/>
          <w:sz w:val="20"/>
          <w:szCs w:val="20"/>
          <w:lang w:val="en-GB"/>
        </w:rPr>
        <w:t xml:space="preserve">. </w:t>
      </w:r>
    </w:p>
    <w:p w14:paraId="3C668755" w14:textId="68FD743E" w:rsidR="005F5203" w:rsidRPr="006E1803" w:rsidRDefault="00EC5C5D" w:rsidP="00674BBD">
      <w:pPr>
        <w:pStyle w:val="BodyTextIndent"/>
        <w:widowControl w:val="0"/>
        <w:numPr>
          <w:ilvl w:val="0"/>
          <w:numId w:val="8"/>
        </w:numPr>
        <w:tabs>
          <w:tab w:val="left" w:pos="814"/>
          <w:tab w:val="left" w:pos="4678"/>
        </w:tabs>
        <w:spacing w:after="200" w:line="280" w:lineRule="exact"/>
        <w:ind w:left="810" w:hanging="810"/>
        <w:rPr>
          <w:rFonts w:ascii="Arial" w:hAnsi="Arial" w:cs="Arial"/>
          <w:sz w:val="20"/>
          <w:szCs w:val="20"/>
          <w:lang w:val="en-GB"/>
        </w:rPr>
      </w:pPr>
      <w:r w:rsidRPr="006E1803">
        <w:rPr>
          <w:rFonts w:ascii="Arial" w:hAnsi="Arial" w:cs="Arial"/>
          <w:sz w:val="20"/>
          <w:lang w:val="en-GB"/>
        </w:rPr>
        <w:t>The</w:t>
      </w:r>
      <w:r w:rsidR="00EA7710">
        <w:rPr>
          <w:rFonts w:ascii="Arial" w:hAnsi="Arial" w:cs="Arial"/>
          <w:sz w:val="20"/>
          <w:lang w:val="en-GB"/>
        </w:rPr>
        <w:t xml:space="preserve"> </w:t>
      </w:r>
      <w:r w:rsidRPr="006E1803">
        <w:rPr>
          <w:rFonts w:ascii="Arial" w:hAnsi="Arial" w:cs="Arial"/>
          <w:sz w:val="20"/>
          <w:lang w:val="en-GB"/>
        </w:rPr>
        <w:t xml:space="preserve">PB </w:t>
      </w:r>
      <w:r w:rsidR="00430DA2">
        <w:rPr>
          <w:rFonts w:ascii="Arial" w:hAnsi="Arial" w:cs="Arial"/>
          <w:sz w:val="20"/>
          <w:lang w:val="en-GB"/>
        </w:rPr>
        <w:t>shall</w:t>
      </w:r>
      <w:r w:rsidR="00EA7710">
        <w:rPr>
          <w:rFonts w:ascii="Arial" w:hAnsi="Arial" w:cs="Arial"/>
          <w:sz w:val="20"/>
          <w:lang w:val="en-GB"/>
        </w:rPr>
        <w:t xml:space="preserve"> </w:t>
      </w:r>
      <w:r w:rsidRPr="006E1803">
        <w:rPr>
          <w:rFonts w:ascii="Arial" w:hAnsi="Arial" w:cs="Arial"/>
          <w:sz w:val="20"/>
          <w:lang w:val="en-GB"/>
        </w:rPr>
        <w:t xml:space="preserve">be constituted, at the exclusive expense of the </w:t>
      </w:r>
      <w:r w:rsidR="00066A80" w:rsidRPr="006E1803">
        <w:rPr>
          <w:rFonts w:ascii="Arial" w:hAnsi="Arial" w:cs="Arial"/>
          <w:sz w:val="20"/>
          <w:lang w:val="en-GB"/>
        </w:rPr>
        <w:t>C</w:t>
      </w:r>
      <w:r w:rsidR="00066A80">
        <w:rPr>
          <w:rFonts w:ascii="Arial" w:hAnsi="Arial" w:cs="Arial"/>
          <w:sz w:val="20"/>
          <w:lang w:val="en-GB"/>
        </w:rPr>
        <w:t>M</w:t>
      </w:r>
      <w:r w:rsidRPr="006E1803">
        <w:rPr>
          <w:rFonts w:ascii="Arial" w:hAnsi="Arial" w:cs="Arial"/>
          <w:sz w:val="20"/>
          <w:lang w:val="en-GB"/>
        </w:rPr>
        <w:t xml:space="preserve">, as a commitment that is executed at the first and simple request of the RCE. ThePB </w:t>
      </w:r>
      <w:r w:rsidR="00430DA2">
        <w:rPr>
          <w:rFonts w:ascii="Arial" w:hAnsi="Arial" w:cs="Arial"/>
          <w:sz w:val="20"/>
          <w:lang w:val="en-GB"/>
        </w:rPr>
        <w:t>shall</w:t>
      </w:r>
      <w:r w:rsidRPr="006E1803">
        <w:rPr>
          <w:rFonts w:ascii="Arial" w:hAnsi="Arial" w:cs="Arial"/>
          <w:sz w:val="20"/>
          <w:lang w:val="en-GB"/>
        </w:rPr>
        <w:t xml:space="preserve">have an initial validity period of at least 3 months, following which this validity </w:t>
      </w:r>
      <w:r w:rsidR="00430DA2">
        <w:rPr>
          <w:rFonts w:ascii="Arial" w:hAnsi="Arial" w:cs="Arial"/>
          <w:sz w:val="20"/>
          <w:lang w:val="en-GB"/>
        </w:rPr>
        <w:t>shall</w:t>
      </w:r>
      <w:r w:rsidRPr="006E1803">
        <w:rPr>
          <w:rFonts w:ascii="Arial" w:hAnsi="Arial" w:cs="Arial"/>
          <w:sz w:val="20"/>
          <w:lang w:val="en-GB"/>
        </w:rPr>
        <w:t xml:space="preserve">be extended at the exclusive expense of the </w:t>
      </w:r>
      <w:r w:rsidR="00066A80" w:rsidRPr="006E1803">
        <w:rPr>
          <w:rFonts w:ascii="Arial" w:hAnsi="Arial" w:cs="Arial"/>
          <w:sz w:val="20"/>
          <w:lang w:val="en-GB"/>
        </w:rPr>
        <w:t>C</w:t>
      </w:r>
      <w:r w:rsidR="00066A80">
        <w:rPr>
          <w:rFonts w:ascii="Arial" w:hAnsi="Arial" w:cs="Arial"/>
          <w:sz w:val="20"/>
          <w:lang w:val="en-GB"/>
        </w:rPr>
        <w:t>M</w:t>
      </w:r>
      <w:r w:rsidRPr="006E1803">
        <w:rPr>
          <w:rFonts w:ascii="Arial" w:hAnsi="Arial" w:cs="Arial"/>
          <w:sz w:val="20"/>
          <w:lang w:val="en-GB"/>
        </w:rPr>
        <w:t xml:space="preserve">. The </w:t>
      </w:r>
      <w:r w:rsidR="00066A80" w:rsidRPr="006E1803">
        <w:rPr>
          <w:rFonts w:ascii="Arial" w:hAnsi="Arial" w:cs="Arial"/>
          <w:sz w:val="20"/>
          <w:lang w:val="en-GB"/>
        </w:rPr>
        <w:t>C</w:t>
      </w:r>
      <w:r w:rsidR="00066A80">
        <w:rPr>
          <w:rFonts w:ascii="Arial" w:hAnsi="Arial" w:cs="Arial"/>
          <w:sz w:val="20"/>
          <w:lang w:val="en-GB"/>
        </w:rPr>
        <w:t>M</w:t>
      </w:r>
      <w:r w:rsidRPr="006E1803">
        <w:rPr>
          <w:rFonts w:ascii="Arial" w:hAnsi="Arial" w:cs="Arial"/>
          <w:sz w:val="20"/>
          <w:lang w:val="en-GB"/>
        </w:rPr>
        <w:t xml:space="preserve">shall provide the RCE with the proof of the issuance of a new SGB, or, as the case may be, of the extension of the period of validity of the existing SGB at least 5 days before the expiry date of each period of validity, under the penalty of non-consideration of the PB. The PB </w:t>
      </w:r>
      <w:r w:rsidR="00430DA2">
        <w:rPr>
          <w:rFonts w:ascii="Arial" w:hAnsi="Arial" w:cs="Arial"/>
          <w:sz w:val="20"/>
          <w:lang w:val="en-GB"/>
        </w:rPr>
        <w:lastRenderedPageBreak/>
        <w:t>shall</w:t>
      </w:r>
      <w:r w:rsidR="00686F70">
        <w:rPr>
          <w:rFonts w:ascii="Arial" w:hAnsi="Arial" w:cs="Arial"/>
          <w:sz w:val="20"/>
          <w:lang w:val="en-GB"/>
        </w:rPr>
        <w:t xml:space="preserve"> </w:t>
      </w:r>
      <w:r w:rsidRPr="006E1803">
        <w:rPr>
          <w:rFonts w:ascii="Arial" w:hAnsi="Arial" w:cs="Arial"/>
          <w:sz w:val="20"/>
          <w:lang w:val="en-GB"/>
        </w:rPr>
        <w:t xml:space="preserve">be constituted in the form provided in Annex 1 of this instruction and </w:t>
      </w:r>
      <w:r w:rsidR="00430DA2">
        <w:rPr>
          <w:rFonts w:ascii="Arial" w:hAnsi="Arial" w:cs="Arial"/>
          <w:sz w:val="20"/>
          <w:lang w:val="en-GB"/>
        </w:rPr>
        <w:t>shall</w:t>
      </w:r>
      <w:r w:rsidRPr="006E1803">
        <w:rPr>
          <w:rFonts w:ascii="Arial" w:hAnsi="Arial" w:cs="Arial"/>
          <w:sz w:val="20"/>
          <w:lang w:val="en-GB"/>
        </w:rPr>
        <w:t>allow the execution by the RCE to cover the Margins</w:t>
      </w:r>
      <w:r w:rsidR="005F5203" w:rsidRPr="006E1803">
        <w:rPr>
          <w:rFonts w:ascii="Arial" w:hAnsi="Arial" w:cs="Arial"/>
          <w:sz w:val="20"/>
          <w:szCs w:val="20"/>
          <w:lang w:val="en-GB"/>
        </w:rPr>
        <w:t xml:space="preserve">. </w:t>
      </w:r>
    </w:p>
    <w:p w14:paraId="446293C8" w14:textId="77777777" w:rsidR="00047A4E" w:rsidRPr="006E1803" w:rsidRDefault="00F61DA7">
      <w:pPr>
        <w:pStyle w:val="BodyTextIndent"/>
        <w:widowControl w:val="0"/>
        <w:numPr>
          <w:ilvl w:val="0"/>
          <w:numId w:val="8"/>
        </w:numPr>
        <w:tabs>
          <w:tab w:val="left" w:pos="814"/>
          <w:tab w:val="left" w:pos="4678"/>
        </w:tabs>
        <w:spacing w:after="200" w:line="280" w:lineRule="exact"/>
        <w:ind w:left="810" w:hanging="810"/>
        <w:rPr>
          <w:rFonts w:ascii="Arial" w:hAnsi="Arial" w:cs="Arial"/>
          <w:sz w:val="20"/>
          <w:szCs w:val="20"/>
          <w:lang w:val="en-GB"/>
        </w:rPr>
      </w:pPr>
      <w:r w:rsidRPr="006E1803">
        <w:rPr>
          <w:rFonts w:ascii="Arial" w:hAnsi="Arial" w:cs="Arial"/>
          <w:sz w:val="20"/>
          <w:lang w:val="en-GB"/>
        </w:rPr>
        <w:t xml:space="preserve">The Escrow Account shall be established by signing an escrow contract, in the form provided in Annex 2 of this Contract and depositing a sum of money in the Escrow Account. The Escrow Contract </w:t>
      </w:r>
      <w:r w:rsidR="008558F7">
        <w:rPr>
          <w:rFonts w:ascii="Arial" w:hAnsi="Arial" w:cs="Arial"/>
          <w:sz w:val="20"/>
          <w:lang w:val="en-GB"/>
        </w:rPr>
        <w:t>shall</w:t>
      </w:r>
      <w:r w:rsidRPr="006E1803">
        <w:rPr>
          <w:rFonts w:ascii="Arial" w:hAnsi="Arial" w:cs="Arial"/>
          <w:sz w:val="20"/>
          <w:lang w:val="en-GB"/>
        </w:rPr>
        <w:t xml:space="preserve">allow the Escrow Agent to transfer to the RCE any amounts necessary to cover the Margins. The Escrow Agent </w:t>
      </w:r>
      <w:r w:rsidR="008558F7">
        <w:rPr>
          <w:rFonts w:ascii="Arial" w:hAnsi="Arial" w:cs="Arial"/>
          <w:sz w:val="20"/>
          <w:lang w:val="en-GB"/>
        </w:rPr>
        <w:t>shall</w:t>
      </w:r>
      <w:r w:rsidRPr="006E1803">
        <w:rPr>
          <w:rFonts w:ascii="Arial" w:hAnsi="Arial" w:cs="Arial"/>
          <w:sz w:val="20"/>
          <w:lang w:val="en-GB"/>
        </w:rPr>
        <w:t xml:space="preserve">have no freedom of appreciation over the merits of the RCE request, and </w:t>
      </w:r>
      <w:r w:rsidR="008558F7">
        <w:rPr>
          <w:rFonts w:ascii="Arial" w:hAnsi="Arial" w:cs="Arial"/>
          <w:sz w:val="20"/>
          <w:lang w:val="en-GB"/>
        </w:rPr>
        <w:t>shall</w:t>
      </w:r>
      <w:r w:rsidRPr="006E1803">
        <w:rPr>
          <w:rFonts w:ascii="Arial" w:hAnsi="Arial" w:cs="Arial"/>
          <w:sz w:val="20"/>
          <w:lang w:val="en-GB"/>
        </w:rPr>
        <w:t>release the amounts requested by the RCE upon its simple request</w:t>
      </w:r>
      <w:r w:rsidR="005F5203" w:rsidRPr="006E1803">
        <w:rPr>
          <w:rFonts w:ascii="Arial" w:hAnsi="Arial" w:cs="Arial"/>
          <w:sz w:val="20"/>
          <w:szCs w:val="20"/>
          <w:lang w:val="en-GB"/>
        </w:rPr>
        <w:t>.</w:t>
      </w:r>
    </w:p>
    <w:p w14:paraId="14CC3993" w14:textId="77777777" w:rsidR="00047A4E" w:rsidRPr="006E1803" w:rsidRDefault="00926184">
      <w:pPr>
        <w:pStyle w:val="BodyTextIndent"/>
        <w:widowControl w:val="0"/>
        <w:numPr>
          <w:ilvl w:val="0"/>
          <w:numId w:val="8"/>
        </w:numPr>
        <w:tabs>
          <w:tab w:val="left" w:pos="814"/>
          <w:tab w:val="left" w:pos="4678"/>
        </w:tabs>
        <w:spacing w:after="200" w:line="280" w:lineRule="exact"/>
        <w:ind w:left="810" w:hanging="810"/>
        <w:rPr>
          <w:rFonts w:ascii="Arial" w:hAnsi="Arial" w:cs="Arial"/>
          <w:sz w:val="20"/>
          <w:szCs w:val="20"/>
          <w:lang w:val="en-GB"/>
        </w:rPr>
      </w:pPr>
      <w:r w:rsidRPr="006E1803">
        <w:rPr>
          <w:rFonts w:ascii="Arial" w:hAnsi="Arial" w:cs="Arial"/>
          <w:sz w:val="20"/>
          <w:lang w:val="en-GB"/>
        </w:rPr>
        <w:t xml:space="preserve">The </w:t>
      </w:r>
      <w:r w:rsidR="00066A80" w:rsidRPr="006E1803">
        <w:rPr>
          <w:rFonts w:ascii="Arial" w:hAnsi="Arial" w:cs="Arial"/>
          <w:sz w:val="20"/>
          <w:lang w:val="en-GB"/>
        </w:rPr>
        <w:t>C</w:t>
      </w:r>
      <w:r w:rsidR="00066A80">
        <w:rPr>
          <w:rFonts w:ascii="Arial" w:hAnsi="Arial" w:cs="Arial"/>
          <w:sz w:val="20"/>
          <w:lang w:val="en-GB"/>
        </w:rPr>
        <w:t>M</w:t>
      </w:r>
      <w:r w:rsidRPr="006E1803">
        <w:rPr>
          <w:rFonts w:ascii="Arial" w:hAnsi="Arial" w:cs="Arial"/>
          <w:sz w:val="20"/>
          <w:lang w:val="en-GB"/>
        </w:rPr>
        <w:t xml:space="preserve">is late as of right for all payment obligations according to the Margins, and the direct debit and / or execution of the Bonds </w:t>
      </w:r>
      <w:r w:rsidR="008558F7">
        <w:rPr>
          <w:rFonts w:ascii="Arial" w:hAnsi="Arial" w:cs="Arial"/>
          <w:sz w:val="20"/>
          <w:lang w:val="en-GB"/>
        </w:rPr>
        <w:t>shall</w:t>
      </w:r>
      <w:r w:rsidRPr="006E1803">
        <w:rPr>
          <w:rFonts w:ascii="Arial" w:hAnsi="Arial" w:cs="Arial"/>
          <w:sz w:val="20"/>
          <w:lang w:val="en-GB"/>
        </w:rPr>
        <w:t xml:space="preserve">be performed without any prior notification of the </w:t>
      </w:r>
      <w:r w:rsidR="00066A80" w:rsidRPr="006E1803">
        <w:rPr>
          <w:rFonts w:ascii="Arial" w:hAnsi="Arial" w:cs="Arial"/>
          <w:sz w:val="20"/>
          <w:lang w:val="en-GB"/>
        </w:rPr>
        <w:t>C</w:t>
      </w:r>
      <w:r w:rsidR="00066A80">
        <w:rPr>
          <w:rFonts w:ascii="Arial" w:hAnsi="Arial" w:cs="Arial"/>
          <w:sz w:val="20"/>
          <w:lang w:val="en-GB"/>
        </w:rPr>
        <w:t>M</w:t>
      </w:r>
      <w:r w:rsidRPr="006E1803">
        <w:rPr>
          <w:rFonts w:ascii="Arial" w:hAnsi="Arial" w:cs="Arial"/>
          <w:sz w:val="20"/>
          <w:lang w:val="en-GB"/>
        </w:rPr>
        <w:t>by the RCE and without any other formality, except those expressly provided in this Instruction</w:t>
      </w:r>
      <w:r w:rsidR="005F5203" w:rsidRPr="006E1803">
        <w:rPr>
          <w:rFonts w:ascii="Arial" w:hAnsi="Arial" w:cs="Arial"/>
          <w:sz w:val="20"/>
          <w:szCs w:val="20"/>
          <w:lang w:val="en-GB"/>
        </w:rPr>
        <w:t>.</w:t>
      </w:r>
    </w:p>
    <w:p w14:paraId="79C96EAD" w14:textId="77777777" w:rsidR="004E4582" w:rsidRPr="006E1803" w:rsidRDefault="004E4582">
      <w:pPr>
        <w:rPr>
          <w:lang w:val="en-GB"/>
        </w:rPr>
      </w:pPr>
    </w:p>
    <w:sectPr w:rsidR="004E4582" w:rsidRPr="006E1803" w:rsidSect="004E45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3635" w14:textId="77777777" w:rsidR="00157341" w:rsidRDefault="00157341" w:rsidP="00244246">
      <w:pPr>
        <w:spacing w:after="0" w:line="240" w:lineRule="auto"/>
      </w:pPr>
      <w:r>
        <w:separator/>
      </w:r>
    </w:p>
  </w:endnote>
  <w:endnote w:type="continuationSeparator" w:id="0">
    <w:p w14:paraId="5A4E80E8" w14:textId="77777777" w:rsidR="00157341" w:rsidRDefault="00157341" w:rsidP="0024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908401"/>
      <w:docPartObj>
        <w:docPartGallery w:val="Page Numbers (Bottom of Page)"/>
        <w:docPartUnique/>
      </w:docPartObj>
    </w:sdtPr>
    <w:sdtEndPr/>
    <w:sdtContent>
      <w:p w14:paraId="68B536C8" w14:textId="77777777" w:rsidR="00244246" w:rsidRDefault="00EF43BA">
        <w:pPr>
          <w:pStyle w:val="Footer"/>
          <w:jc w:val="center"/>
        </w:pPr>
        <w:r>
          <w:fldChar w:fldCharType="begin"/>
        </w:r>
        <w:r w:rsidR="00AD3764">
          <w:instrText xml:space="preserve"> PAGE   \* MERGEFORMAT </w:instrText>
        </w:r>
        <w:r>
          <w:fldChar w:fldCharType="separate"/>
        </w:r>
        <w:r w:rsidR="008D0B27">
          <w:rPr>
            <w:noProof/>
          </w:rPr>
          <w:t>3</w:t>
        </w:r>
        <w:r>
          <w:rPr>
            <w:noProof/>
          </w:rPr>
          <w:fldChar w:fldCharType="end"/>
        </w:r>
      </w:p>
    </w:sdtContent>
  </w:sdt>
  <w:p w14:paraId="0B0374EB" w14:textId="77777777" w:rsidR="00244246" w:rsidRDefault="0024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7DE7B" w14:textId="77777777" w:rsidR="00157341" w:rsidRDefault="00157341" w:rsidP="00244246">
      <w:pPr>
        <w:spacing w:after="0" w:line="240" w:lineRule="auto"/>
      </w:pPr>
      <w:r>
        <w:separator/>
      </w:r>
    </w:p>
  </w:footnote>
  <w:footnote w:type="continuationSeparator" w:id="0">
    <w:p w14:paraId="2437EF7E" w14:textId="77777777" w:rsidR="00157341" w:rsidRDefault="00157341" w:rsidP="0024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DB2A" w14:textId="4CF06496" w:rsidR="002802D7" w:rsidRDefault="002802D7" w:rsidP="002802D7">
    <w:pPr>
      <w:pStyle w:val="Header"/>
      <w:jc w:val="right"/>
      <w:rPr>
        <w:i/>
        <w:iCs/>
        <w:color w:val="4472C4"/>
      </w:rPr>
    </w:pPr>
    <w:r>
      <w:rPr>
        <w:i/>
        <w:iCs/>
        <w:color w:val="4472C4"/>
      </w:rPr>
      <w:t xml:space="preserve">Version 1.0 of </w:t>
    </w:r>
    <w:r w:rsidR="00401A6E">
      <w:rPr>
        <w:i/>
        <w:iCs/>
        <w:color w:val="4472C4"/>
      </w:rPr>
      <w:t>27</w:t>
    </w:r>
    <w:r>
      <w:rPr>
        <w:i/>
        <w:iCs/>
        <w:color w:val="4472C4"/>
      </w:rPr>
      <w:t>.10.2020</w:t>
    </w:r>
  </w:p>
  <w:p w14:paraId="0A32AFAE" w14:textId="77777777" w:rsidR="002802D7" w:rsidRDefault="002802D7" w:rsidP="002802D7">
    <w:pPr>
      <w:pStyle w:val="Header"/>
      <w:jc w:val="right"/>
      <w:rPr>
        <w:i/>
        <w:iCs/>
        <w:color w:val="4472C4"/>
      </w:rPr>
    </w:pPr>
    <w:r>
      <w:rPr>
        <w:i/>
        <w:iCs/>
        <w:color w:val="4472C4"/>
      </w:rPr>
      <w:t>Futures contracts</w:t>
    </w:r>
  </w:p>
  <w:p w14:paraId="5CAFA25E" w14:textId="1EABFA1D" w:rsidR="00EA7710" w:rsidRPr="002802D7" w:rsidRDefault="00EA7710" w:rsidP="00280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C24C7720"/>
    <w:name w:val="WW8Num5"/>
    <w:lvl w:ilvl="0">
      <w:start w:val="1"/>
      <w:numFmt w:val="decimal"/>
      <w:lvlText w:val="%1."/>
      <w:lvlJc w:val="left"/>
      <w:pPr>
        <w:tabs>
          <w:tab w:val="num" w:pos="720"/>
        </w:tabs>
        <w:ind w:left="720" w:hanging="360"/>
      </w:pPr>
      <w:rPr>
        <w:rFonts w:ascii="Arial" w:eastAsia="Calibri" w:hAnsi="Arial" w:cs="Arial" w:hint="default"/>
        <w:b/>
        <w:bCs/>
        <w:sz w:val="22"/>
        <w:szCs w:val="22"/>
        <w:lang w:val="ro-RO"/>
      </w:rPr>
    </w:lvl>
  </w:abstractNum>
  <w:abstractNum w:abstractNumId="1" w15:restartNumberingAfterBreak="0">
    <w:nsid w:val="0000000C"/>
    <w:multiLevelType w:val="singleLevel"/>
    <w:tmpl w:val="0000000C"/>
    <w:name w:val="WW8Num14"/>
    <w:lvl w:ilvl="0">
      <w:start w:val="1"/>
      <w:numFmt w:val="lowerRoman"/>
      <w:lvlText w:val="(%1)"/>
      <w:lvlJc w:val="left"/>
      <w:pPr>
        <w:tabs>
          <w:tab w:val="num" w:pos="720"/>
        </w:tabs>
        <w:ind w:left="1440" w:hanging="360"/>
      </w:pPr>
      <w:rPr>
        <w:rFonts w:ascii="Arial" w:hAnsi="Arial" w:cs="Arial" w:hint="default"/>
        <w:sz w:val="22"/>
        <w:szCs w:val="22"/>
        <w:lang w:val="ro-RO"/>
      </w:rPr>
    </w:lvl>
  </w:abstractNum>
  <w:abstractNum w:abstractNumId="2"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3" w15:restartNumberingAfterBreak="0">
    <w:nsid w:val="00000020"/>
    <w:multiLevelType w:val="singleLevel"/>
    <w:tmpl w:val="00000020"/>
    <w:name w:val="WW8Num45"/>
    <w:lvl w:ilvl="0">
      <w:start w:val="1"/>
      <w:numFmt w:val="lowerRoman"/>
      <w:lvlText w:val="(%1)"/>
      <w:lvlJc w:val="left"/>
      <w:pPr>
        <w:tabs>
          <w:tab w:val="num" w:pos="720"/>
        </w:tabs>
        <w:ind w:left="1440" w:hanging="360"/>
      </w:pPr>
      <w:rPr>
        <w:rFonts w:ascii="Arial" w:eastAsia="Calibri" w:hAnsi="Arial" w:cs="Arial"/>
        <w:sz w:val="22"/>
        <w:szCs w:val="22"/>
        <w:lang w:val="ro-RO"/>
      </w:rPr>
    </w:lvl>
  </w:abstractNum>
  <w:abstractNum w:abstractNumId="4" w15:restartNumberingAfterBreak="0">
    <w:nsid w:val="00000025"/>
    <w:multiLevelType w:val="singleLevel"/>
    <w:tmpl w:val="8E78152A"/>
    <w:name w:val="WW8Num52"/>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5" w15:restartNumberingAfterBreak="0">
    <w:nsid w:val="52321815"/>
    <w:multiLevelType w:val="hybridMultilevel"/>
    <w:tmpl w:val="EDAA37C8"/>
    <w:lvl w:ilvl="0" w:tplc="E878EEE2">
      <w:start w:val="1"/>
      <w:numFmt w:val="decimal"/>
      <w:lvlText w:val="%1."/>
      <w:lvlJc w:val="left"/>
      <w:pPr>
        <w:ind w:left="1174" w:hanging="360"/>
      </w:pPr>
      <w:rPr>
        <w:rFonts w:hint="default"/>
      </w:rPr>
    </w:lvl>
    <w:lvl w:ilvl="1" w:tplc="04090019">
      <w:start w:val="1"/>
      <w:numFmt w:val="lowerLetter"/>
      <w:lvlText w:val="%2."/>
      <w:lvlJc w:val="left"/>
      <w:pPr>
        <w:ind w:left="1894" w:hanging="360"/>
      </w:pPr>
    </w:lvl>
    <w:lvl w:ilvl="2" w:tplc="0409001B">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6" w15:restartNumberingAfterBreak="0">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C1925"/>
    <w:multiLevelType w:val="multilevel"/>
    <w:tmpl w:val="99F6FAE6"/>
    <w:lvl w:ilvl="0">
      <w:start w:val="1"/>
      <w:numFmt w:val="decimal"/>
      <w:lvlText w:val="%1."/>
      <w:lvlJc w:val="left"/>
      <w:pPr>
        <w:tabs>
          <w:tab w:val="num" w:pos="360"/>
        </w:tabs>
        <w:ind w:left="360" w:hanging="360"/>
      </w:pPr>
      <w:rPr>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203"/>
    <w:rsid w:val="00011C68"/>
    <w:rsid w:val="00047A4E"/>
    <w:rsid w:val="00066A80"/>
    <w:rsid w:val="0007371B"/>
    <w:rsid w:val="000A4FD9"/>
    <w:rsid w:val="000A69A8"/>
    <w:rsid w:val="000B38F2"/>
    <w:rsid w:val="000F3AEF"/>
    <w:rsid w:val="00105382"/>
    <w:rsid w:val="00120DEC"/>
    <w:rsid w:val="00157341"/>
    <w:rsid w:val="00157EFB"/>
    <w:rsid w:val="001F670A"/>
    <w:rsid w:val="002125D9"/>
    <w:rsid w:val="00244246"/>
    <w:rsid w:val="002802D7"/>
    <w:rsid w:val="00282725"/>
    <w:rsid w:val="00302CE6"/>
    <w:rsid w:val="0039342F"/>
    <w:rsid w:val="003B53FA"/>
    <w:rsid w:val="00401A6E"/>
    <w:rsid w:val="00403F42"/>
    <w:rsid w:val="00430DA2"/>
    <w:rsid w:val="00434083"/>
    <w:rsid w:val="004974F4"/>
    <w:rsid w:val="004D02B1"/>
    <w:rsid w:val="004E4582"/>
    <w:rsid w:val="004F7AD4"/>
    <w:rsid w:val="005038BD"/>
    <w:rsid w:val="0057779A"/>
    <w:rsid w:val="005F5203"/>
    <w:rsid w:val="00633EF0"/>
    <w:rsid w:val="00672018"/>
    <w:rsid w:val="00674BBD"/>
    <w:rsid w:val="00676C10"/>
    <w:rsid w:val="00686F70"/>
    <w:rsid w:val="006E1803"/>
    <w:rsid w:val="00704955"/>
    <w:rsid w:val="007451A8"/>
    <w:rsid w:val="007F39F3"/>
    <w:rsid w:val="0080155B"/>
    <w:rsid w:val="0083080E"/>
    <w:rsid w:val="00852D0A"/>
    <w:rsid w:val="008558F7"/>
    <w:rsid w:val="008616EB"/>
    <w:rsid w:val="008D0B27"/>
    <w:rsid w:val="008D75EF"/>
    <w:rsid w:val="008E6C16"/>
    <w:rsid w:val="008F46C4"/>
    <w:rsid w:val="00926184"/>
    <w:rsid w:val="009C00BA"/>
    <w:rsid w:val="009C36A8"/>
    <w:rsid w:val="009E12E6"/>
    <w:rsid w:val="00A1503B"/>
    <w:rsid w:val="00AA6AB9"/>
    <w:rsid w:val="00AB2B24"/>
    <w:rsid w:val="00AC5539"/>
    <w:rsid w:val="00AD3764"/>
    <w:rsid w:val="00B32DEA"/>
    <w:rsid w:val="00B478B5"/>
    <w:rsid w:val="00C4605D"/>
    <w:rsid w:val="00CB6CD9"/>
    <w:rsid w:val="00CE0CF6"/>
    <w:rsid w:val="00D30E1A"/>
    <w:rsid w:val="00D91D01"/>
    <w:rsid w:val="00DA64CC"/>
    <w:rsid w:val="00DC412C"/>
    <w:rsid w:val="00DE6BF2"/>
    <w:rsid w:val="00E545B9"/>
    <w:rsid w:val="00E56422"/>
    <w:rsid w:val="00EA7710"/>
    <w:rsid w:val="00EC21DD"/>
    <w:rsid w:val="00EC5C5D"/>
    <w:rsid w:val="00EF43BA"/>
    <w:rsid w:val="00F0031F"/>
    <w:rsid w:val="00F61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E227"/>
  <w15:docId w15:val="{96ADFBF9-305F-4C67-BD16-BA281ED8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F5203"/>
    <w:pPr>
      <w:spacing w:after="0" w:line="240" w:lineRule="auto"/>
      <w:ind w:left="708"/>
      <w:jc w:val="both"/>
    </w:pPr>
    <w:rPr>
      <w:rFonts w:ascii="Times New Roman" w:eastAsia="Times New Roman" w:hAnsi="Times New Roman" w:cs="Times New Roman"/>
      <w:sz w:val="24"/>
      <w:szCs w:val="24"/>
      <w:lang w:val="hu-HU" w:eastAsia="hu-HU"/>
    </w:rPr>
  </w:style>
  <w:style w:type="character" w:customStyle="1" w:styleId="BodyTextIndentChar">
    <w:name w:val="Body Text Indent Char"/>
    <w:basedOn w:val="DefaultParagraphFont"/>
    <w:link w:val="BodyTextIndent"/>
    <w:uiPriority w:val="99"/>
    <w:rsid w:val="005F5203"/>
    <w:rPr>
      <w:rFonts w:ascii="Times New Roman" w:eastAsia="Times New Roman" w:hAnsi="Times New Roman" w:cs="Times New Roman"/>
      <w:sz w:val="24"/>
      <w:szCs w:val="24"/>
      <w:lang w:val="hu-HU" w:eastAsia="hu-HU"/>
    </w:rPr>
  </w:style>
  <w:style w:type="paragraph" w:customStyle="1" w:styleId="rvps8">
    <w:name w:val="rvps8"/>
    <w:basedOn w:val="Normal"/>
    <w:rsid w:val="005F5203"/>
    <w:pPr>
      <w:numPr>
        <w:ilvl w:val="1"/>
        <w:numId w:val="1"/>
      </w:numPr>
      <w:tabs>
        <w:tab w:val="num" w:pos="972"/>
      </w:tabs>
      <w:autoSpaceDE w:val="0"/>
      <w:autoSpaceDN w:val="0"/>
      <w:adjustRightInd w:val="0"/>
      <w:spacing w:line="280" w:lineRule="exact"/>
      <w:jc w:val="both"/>
    </w:pPr>
    <w:rPr>
      <w:rFonts w:ascii="Arial" w:eastAsia="Times New Roman" w:hAnsi="Arial" w:cs="Arial"/>
      <w:bCs/>
      <w:noProof/>
      <w:sz w:val="20"/>
      <w:szCs w:val="20"/>
      <w:lang w:val="ro-RO"/>
    </w:rPr>
  </w:style>
  <w:style w:type="paragraph" w:styleId="Header">
    <w:name w:val="header"/>
    <w:basedOn w:val="Normal"/>
    <w:link w:val="HeaderChar"/>
    <w:uiPriority w:val="99"/>
    <w:unhideWhenUsed/>
    <w:rsid w:val="00244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46"/>
  </w:style>
  <w:style w:type="paragraph" w:styleId="Footer">
    <w:name w:val="footer"/>
    <w:basedOn w:val="Normal"/>
    <w:link w:val="FooterChar"/>
    <w:uiPriority w:val="99"/>
    <w:unhideWhenUsed/>
    <w:rsid w:val="00244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46"/>
  </w:style>
  <w:style w:type="paragraph" w:styleId="ListParagraph">
    <w:name w:val="List Paragraph"/>
    <w:basedOn w:val="Normal"/>
    <w:uiPriority w:val="34"/>
    <w:qFormat/>
    <w:rsid w:val="004974F4"/>
    <w:pPr>
      <w:spacing w:after="0" w:line="240" w:lineRule="auto"/>
      <w:ind w:left="720"/>
      <w:contextualSpacing/>
    </w:pPr>
    <w:rPr>
      <w:rFonts w:ascii="Times New Roman" w:eastAsia="Times New Roman" w:hAnsi="Times New Roman" w:cs="Times New Roman"/>
      <w:sz w:val="24"/>
      <w:szCs w:val="24"/>
      <w:lang w:val="hu-HU" w:eastAsia="hu-HU"/>
    </w:rPr>
  </w:style>
  <w:style w:type="character" w:customStyle="1" w:styleId="rvts9">
    <w:name w:val="rvts9"/>
    <w:rsid w:val="004974F4"/>
    <w:rPr>
      <w:rFonts w:cs="Times New Roman"/>
      <w:color w:val="000000"/>
    </w:rPr>
  </w:style>
  <w:style w:type="character" w:customStyle="1" w:styleId="rvts10">
    <w:name w:val="rvts10"/>
    <w:rsid w:val="004974F4"/>
    <w:rPr>
      <w:rFonts w:cs="Times New Roman"/>
      <w:color w:val="000000"/>
      <w:sz w:val="24"/>
      <w:szCs w:val="24"/>
    </w:rPr>
  </w:style>
  <w:style w:type="character" w:customStyle="1" w:styleId="rvts11">
    <w:name w:val="rvts11"/>
    <w:rsid w:val="004974F4"/>
    <w:rPr>
      <w:rFonts w:cs="Times New Roman"/>
      <w:b/>
      <w:bCs/>
      <w:color w:val="000000"/>
      <w:sz w:val="24"/>
      <w:szCs w:val="24"/>
    </w:rPr>
  </w:style>
  <w:style w:type="character" w:customStyle="1" w:styleId="rvts61">
    <w:name w:val="rvts61"/>
    <w:rsid w:val="004974F4"/>
    <w:rPr>
      <w:rFonts w:cs="Times New Roman"/>
    </w:rPr>
  </w:style>
  <w:style w:type="character" w:customStyle="1" w:styleId="apple-converted-space">
    <w:name w:val="apple-converted-space"/>
    <w:rsid w:val="004974F4"/>
  </w:style>
  <w:style w:type="paragraph" w:styleId="BalloonText">
    <w:name w:val="Balloon Text"/>
    <w:basedOn w:val="Normal"/>
    <w:link w:val="BalloonTextChar"/>
    <w:uiPriority w:val="99"/>
    <w:semiHidden/>
    <w:unhideWhenUsed/>
    <w:rsid w:val="00745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947</Words>
  <Characters>5401</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ioana.dragan</dc:creator>
  <cp:lastModifiedBy>Eduard Vasile</cp:lastModifiedBy>
  <cp:revision>9</cp:revision>
  <cp:lastPrinted>2020-05-11T06:59:00Z</cp:lastPrinted>
  <dcterms:created xsi:type="dcterms:W3CDTF">2020-04-23T20:37:00Z</dcterms:created>
  <dcterms:modified xsi:type="dcterms:W3CDTF">2020-11-03T13:54:00Z</dcterms:modified>
</cp:coreProperties>
</file>